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margin" w:tblpY="17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070"/>
        <w:gridCol w:w="4645"/>
      </w:tblGrid>
      <w:tr w:rsidR="000D5974" w:rsidRPr="000D5974" w14:paraId="34AB26A6" w14:textId="77777777" w:rsidTr="000D5974">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2F8FC4" w14:textId="51D9DE75" w:rsidR="000D5974" w:rsidRPr="000D5974" w:rsidRDefault="000D5974" w:rsidP="00B17990">
            <w:pPr>
              <w:spacing w:line="276" w:lineRule="auto"/>
              <w:rPr>
                <w:b/>
                <w:szCs w:val="24"/>
                <w:lang w:val="sq-AL"/>
              </w:rPr>
            </w:pPr>
            <w:bookmarkStart w:id="0" w:name="_GoBack"/>
            <w:bookmarkEnd w:id="0"/>
            <w:r w:rsidRPr="000D5974">
              <w:rPr>
                <w:b/>
                <w:szCs w:val="24"/>
                <w:lang w:val="sq-AL"/>
              </w:rPr>
              <w:t>RAPORTI I VLERËSIMIT TË NDIKIMIT</w:t>
            </w:r>
          </w:p>
        </w:tc>
      </w:tr>
      <w:tr w:rsidR="00C84F64" w:rsidRPr="00325A1F" w14:paraId="483B3CEF"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07D5B1" w14:textId="77777777" w:rsidR="00CA40EE" w:rsidRPr="00325A1F" w:rsidRDefault="00CA40EE" w:rsidP="007B6556">
            <w:pPr>
              <w:spacing w:line="276" w:lineRule="auto"/>
              <w:rPr>
                <w:b/>
                <w:szCs w:val="24"/>
                <w:lang w:val="sq-AL"/>
              </w:rPr>
            </w:pPr>
            <w:r w:rsidRPr="00325A1F">
              <w:rPr>
                <w:b/>
                <w:szCs w:val="24"/>
                <w:lang w:val="sq-AL"/>
              </w:rPr>
              <w:t xml:space="preserve">EMËRTIMI I PROPOZIMIT TË POLITIKËS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9DBBD3" w14:textId="3690CFF3" w:rsidR="00CA40EE" w:rsidRPr="00325A1F" w:rsidRDefault="00CA40EE" w:rsidP="001F2C00">
            <w:pPr>
              <w:spacing w:line="276" w:lineRule="auto"/>
              <w:rPr>
                <w:b/>
                <w:szCs w:val="24"/>
                <w:lang w:val="sq-AL"/>
              </w:rPr>
            </w:pPr>
            <w:r w:rsidRPr="00325A1F">
              <w:rPr>
                <w:szCs w:val="24"/>
                <w:lang w:val="sq-AL"/>
              </w:rPr>
              <w:t>Projekt</w:t>
            </w:r>
            <w:r w:rsidR="001F2C00">
              <w:rPr>
                <w:rStyle w:val="IASOIChar"/>
                <w:rFonts w:ascii="Times New Roman" w:hAnsi="Times New Roman"/>
                <w:b w:val="0"/>
                <w:sz w:val="24"/>
                <w:szCs w:val="24"/>
              </w:rPr>
              <w:fldChar w:fldCharType="begin">
                <w:ffData>
                  <w:name w:val=""/>
                  <w:enabled/>
                  <w:calcOnExit w:val="0"/>
                  <w:ddList>
                    <w:listEntry w:val="ligj"/>
                    <w:listEntry w:val="akt/ligj/vendim"/>
                    <w:listEntry w:val="akt"/>
                    <w:listEntry w:val="vendim"/>
                  </w:ddList>
                </w:ffData>
              </w:fldChar>
            </w:r>
            <w:r w:rsidR="001F2C00">
              <w:rPr>
                <w:rStyle w:val="IASOIChar"/>
                <w:rFonts w:ascii="Times New Roman" w:hAnsi="Times New Roman"/>
                <w:b w:val="0"/>
                <w:sz w:val="24"/>
                <w:szCs w:val="24"/>
              </w:rPr>
              <w:instrText xml:space="preserve"> FORMDROPDOWN </w:instrText>
            </w:r>
            <w:r w:rsidR="005D117E">
              <w:rPr>
                <w:rStyle w:val="IASOIChar"/>
                <w:rFonts w:ascii="Times New Roman" w:hAnsi="Times New Roman"/>
                <w:b w:val="0"/>
                <w:sz w:val="24"/>
                <w:szCs w:val="24"/>
              </w:rPr>
            </w:r>
            <w:r w:rsidR="005D117E">
              <w:rPr>
                <w:rStyle w:val="IASOIChar"/>
                <w:rFonts w:ascii="Times New Roman" w:hAnsi="Times New Roman"/>
                <w:b w:val="0"/>
                <w:sz w:val="24"/>
                <w:szCs w:val="24"/>
              </w:rPr>
              <w:fldChar w:fldCharType="separate"/>
            </w:r>
            <w:r w:rsidR="001F2C00">
              <w:rPr>
                <w:rStyle w:val="IASOIChar"/>
                <w:rFonts w:ascii="Times New Roman" w:hAnsi="Times New Roman"/>
                <w:b w:val="0"/>
                <w:sz w:val="24"/>
                <w:szCs w:val="24"/>
              </w:rPr>
              <w:fldChar w:fldCharType="end"/>
            </w:r>
            <w:r w:rsidR="002A33A0" w:rsidRPr="00325A1F">
              <w:rPr>
                <w:szCs w:val="24"/>
                <w:lang w:val="sq-AL"/>
              </w:rPr>
              <w:t xml:space="preserve"> </w:t>
            </w:r>
            <w:r w:rsidR="000F5100" w:rsidRPr="00325A1F">
              <w:rPr>
                <w:szCs w:val="24"/>
                <w:lang w:val="sq-AL"/>
              </w:rPr>
              <w:t xml:space="preserve"> </w:t>
            </w:r>
            <w:r w:rsidRPr="00325A1F">
              <w:rPr>
                <w:szCs w:val="24"/>
                <w:lang w:val="sq-AL"/>
              </w:rPr>
              <w:t xml:space="preserve">për </w:t>
            </w:r>
            <w:r w:rsidR="001F2C00">
              <w:rPr>
                <w:szCs w:val="24"/>
              </w:rPr>
              <w:t>“</w:t>
            </w:r>
            <w:r w:rsidR="001F2C00" w:rsidRPr="003B6818">
              <w:rPr>
                <w:szCs w:val="24"/>
              </w:rPr>
              <w:t>Për disa shtesa dhe ndryshime në ligjin nr</w:t>
            </w:r>
            <w:r w:rsidR="001F2C00">
              <w:rPr>
                <w:szCs w:val="24"/>
              </w:rPr>
              <w:t>. 110/2018, “</w:t>
            </w:r>
            <w:r w:rsidR="001F2C00" w:rsidRPr="003B6818">
              <w:rPr>
                <w:szCs w:val="24"/>
              </w:rPr>
              <w:t xml:space="preserve">Për </w:t>
            </w:r>
            <w:r w:rsidR="001F2C00">
              <w:rPr>
                <w:szCs w:val="24"/>
              </w:rPr>
              <w:t>noterinë</w:t>
            </w:r>
            <w:r w:rsidR="001F2C00" w:rsidRPr="003B6818">
              <w:rPr>
                <w:szCs w:val="24"/>
              </w:rPr>
              <w:t>”</w:t>
            </w:r>
            <w:r w:rsidRPr="00325A1F">
              <w:rPr>
                <w:szCs w:val="24"/>
                <w:lang w:val="sq-AL"/>
              </w:rPr>
              <w:t xml:space="preserve"> </w:t>
            </w:r>
          </w:p>
        </w:tc>
      </w:tr>
      <w:tr w:rsidR="00C84F64" w:rsidRPr="00325A1F" w14:paraId="0BB8BDE5"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9D67E8" w14:textId="77777777" w:rsidR="00CA40EE" w:rsidRPr="00325A1F" w:rsidRDefault="00CA40EE" w:rsidP="007B6556">
            <w:pPr>
              <w:spacing w:line="276" w:lineRule="auto"/>
              <w:rPr>
                <w:b/>
                <w:szCs w:val="24"/>
                <w:lang w:val="sq-AL"/>
              </w:rPr>
            </w:pPr>
            <w:r w:rsidRPr="00325A1F">
              <w:rPr>
                <w:b/>
                <w:szCs w:val="24"/>
                <w:lang w:val="sq-AL"/>
              </w:rPr>
              <w:t xml:space="preserve">MINISTRIA UDHËHEQËSE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A7E2E8" w14:textId="561BF7CE" w:rsidR="00CA40EE" w:rsidRPr="00325A1F" w:rsidRDefault="00444DC8" w:rsidP="00956F7E">
            <w:pPr>
              <w:spacing w:line="276" w:lineRule="auto"/>
              <w:rPr>
                <w:szCs w:val="24"/>
                <w:lang w:val="sq-AL"/>
              </w:rPr>
            </w:pPr>
            <w:r>
              <w:rPr>
                <w:szCs w:val="24"/>
                <w:lang w:val="sq-AL"/>
              </w:rPr>
              <w:t xml:space="preserve">Ministria </w:t>
            </w:r>
            <w:r w:rsidR="002A66D3" w:rsidRPr="00325A1F">
              <w:rPr>
                <w:szCs w:val="24"/>
                <w:lang w:val="sq-AL"/>
              </w:rPr>
              <w:t xml:space="preserve"> </w:t>
            </w:r>
            <w:r w:rsidR="00956F7E">
              <w:rPr>
                <w:rStyle w:val="IASOIChar"/>
                <w:rFonts w:ascii="Times New Roman" w:hAnsi="Times New Roman"/>
                <w:b w:val="0"/>
                <w:sz w:val="24"/>
                <w:szCs w:val="24"/>
              </w:rPr>
              <w:fldChar w:fldCharType="begin">
                <w:ffData>
                  <w:name w:val="MInistria"/>
                  <w:enabled/>
                  <w:calcOnExit w:val="0"/>
                  <w:ddList>
                    <w:listEntry w:val="e Drejtësisë"/>
                    <w:listEntry w:val="..."/>
                    <w:listEntry w:val="e Arsimit, Rinisë dhe Sporteve"/>
                    <w:listEntry w:val="e Brendshme"/>
                    <w:listEntry w:val="e Bujqësisë dhe Zhvillimit Rural"/>
                    <w:listEntry w:val="e Energjisë dhe Infrastrukturës"/>
                    <w:listEntry w:val="e Financave dhe Ekonomisë"/>
                    <w:listEntry w:val="e Kulturës"/>
                    <w:listEntry w:val="e Mbrojtjes"/>
                    <w:listEntry w:val="e Mjedisit dhe Turizmit"/>
                    <w:listEntry w:val="e Shëndesisë dhe Mbrojtjes Sociale"/>
                    <w:listEntry w:val="e Shtetit për Diasporën"/>
                    <w:listEntry w:val="e Shtetit për Mbrojtjen e Sipërmarrjes"/>
                    <w:listEntry w:val="e Shtetit për Marrëdhëniet me Parlamentin"/>
                    <w:listEntry w:val="për Evropën dhe Punët e Jashtme"/>
                  </w:ddList>
                </w:ffData>
              </w:fldChar>
            </w:r>
            <w:r w:rsidR="00956F7E">
              <w:rPr>
                <w:rStyle w:val="IASOIChar"/>
                <w:rFonts w:ascii="Times New Roman" w:hAnsi="Times New Roman"/>
                <w:b w:val="0"/>
                <w:sz w:val="24"/>
                <w:szCs w:val="24"/>
              </w:rPr>
              <w:instrText xml:space="preserve"> </w:instrText>
            </w:r>
            <w:bookmarkStart w:id="1" w:name="MInistria"/>
            <w:r w:rsidR="00956F7E">
              <w:rPr>
                <w:rStyle w:val="IASOIChar"/>
                <w:rFonts w:ascii="Times New Roman" w:hAnsi="Times New Roman"/>
                <w:b w:val="0"/>
                <w:sz w:val="24"/>
                <w:szCs w:val="24"/>
              </w:rPr>
              <w:instrText xml:space="preserve">FORMDROPDOWN </w:instrText>
            </w:r>
            <w:r w:rsidR="005D117E">
              <w:rPr>
                <w:rStyle w:val="IASOIChar"/>
                <w:rFonts w:ascii="Times New Roman" w:hAnsi="Times New Roman"/>
                <w:b w:val="0"/>
                <w:sz w:val="24"/>
                <w:szCs w:val="24"/>
              </w:rPr>
            </w:r>
            <w:r w:rsidR="005D117E">
              <w:rPr>
                <w:rStyle w:val="IASOIChar"/>
                <w:rFonts w:ascii="Times New Roman" w:hAnsi="Times New Roman"/>
                <w:b w:val="0"/>
                <w:sz w:val="24"/>
                <w:szCs w:val="24"/>
              </w:rPr>
              <w:fldChar w:fldCharType="separate"/>
            </w:r>
            <w:r w:rsidR="00956F7E">
              <w:rPr>
                <w:rStyle w:val="IASOIChar"/>
                <w:rFonts w:ascii="Times New Roman" w:hAnsi="Times New Roman"/>
                <w:b w:val="0"/>
                <w:sz w:val="24"/>
                <w:szCs w:val="24"/>
              </w:rPr>
              <w:fldChar w:fldCharType="end"/>
            </w:r>
            <w:bookmarkEnd w:id="1"/>
            <w:r w:rsidR="00CA40EE" w:rsidRPr="00325A1F">
              <w:rPr>
                <w:szCs w:val="24"/>
                <w:lang w:val="sq-AL"/>
              </w:rPr>
              <w:t xml:space="preserve"> </w:t>
            </w:r>
          </w:p>
        </w:tc>
      </w:tr>
      <w:tr w:rsidR="00C84F64" w:rsidRPr="00325A1F" w14:paraId="14222BD2"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59A4FA" w14:textId="77777777" w:rsidR="00CA40EE" w:rsidRPr="00325A1F" w:rsidRDefault="00CA40EE" w:rsidP="007B6556">
            <w:pPr>
              <w:spacing w:line="276" w:lineRule="auto"/>
              <w:rPr>
                <w:b/>
                <w:szCs w:val="24"/>
                <w:lang w:val="sq-AL"/>
              </w:rPr>
            </w:pPr>
            <w:r w:rsidRPr="00325A1F">
              <w:rPr>
                <w:b/>
                <w:szCs w:val="24"/>
                <w:lang w:val="sq-AL"/>
              </w:rPr>
              <w:t>FAZA E POLITIKËS/VLERËSIMIT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AD9CC" w14:textId="22FA9198" w:rsidR="00CA40EE" w:rsidRPr="00325A1F" w:rsidRDefault="005D117E" w:rsidP="007B6556">
            <w:pPr>
              <w:spacing w:line="276" w:lineRule="auto"/>
              <w:rPr>
                <w:szCs w:val="24"/>
                <w:lang w:val="sq-AL"/>
              </w:rPr>
            </w:pPr>
            <w:sdt>
              <w:sdtPr>
                <w:rPr>
                  <w:rStyle w:val="BodyTextChar"/>
                  <w:rFonts w:ascii="Times New Roman" w:hAnsi="Times New Roman"/>
                  <w:sz w:val="24"/>
                  <w:szCs w:val="24"/>
                </w:rPr>
                <w:id w:val="1396398853"/>
                <w:lock w:val="sdtLocked"/>
                <w:placeholder>
                  <w:docPart w:val="467F15D558F0444BB35BCB17F1E0E252"/>
                </w:placeholder>
                <w:dropDownList>
                  <w:listItem w:displayText="Zhvillim/Konsultim/Finale" w:value="Zhvillim/Konsultim/Finale"/>
                  <w:listItem w:displayText="Zhvillim" w:value="Zhvillim"/>
                  <w:listItem w:displayText="Konsultim" w:value="Konsultim"/>
                  <w:listItem w:displayText="Finale" w:value="Finale"/>
                </w:dropDownList>
              </w:sdtPr>
              <w:sdtEndPr>
                <w:rPr>
                  <w:rStyle w:val="DefaultParagraphFont"/>
                  <w:color w:val="auto"/>
                  <w:lang w:val="sq-AL"/>
                </w:rPr>
              </w:sdtEndPr>
              <w:sdtContent>
                <w:r w:rsidR="00956F7E">
                  <w:rPr>
                    <w:rStyle w:val="BodyTextChar"/>
                    <w:rFonts w:ascii="Times New Roman" w:hAnsi="Times New Roman"/>
                    <w:sz w:val="24"/>
                    <w:szCs w:val="24"/>
                  </w:rPr>
                  <w:t>Konsultim</w:t>
                </w:r>
              </w:sdtContent>
            </w:sdt>
          </w:p>
        </w:tc>
      </w:tr>
      <w:tr w:rsidR="00C84F64" w:rsidRPr="00325A1F" w14:paraId="47CEFF3E"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DF7E06A" w14:textId="77777777" w:rsidR="00CA40EE" w:rsidRPr="00325A1F" w:rsidRDefault="00CA40EE" w:rsidP="007B6556">
            <w:pPr>
              <w:spacing w:line="276" w:lineRule="auto"/>
              <w:rPr>
                <w:b/>
                <w:szCs w:val="24"/>
                <w:lang w:val="sq-AL"/>
              </w:rPr>
            </w:pPr>
            <w:r w:rsidRPr="00325A1F">
              <w:rPr>
                <w:b/>
                <w:szCs w:val="24"/>
                <w:lang w:val="sq-AL"/>
              </w:rPr>
              <w:t>BURIMI I PROPOZIMIT TË POLITIKËS</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694D80" w14:textId="42488293" w:rsidR="00CA40EE" w:rsidRPr="00325A1F" w:rsidRDefault="001F2C00" w:rsidP="007B6556">
            <w:pPr>
              <w:spacing w:line="276" w:lineRule="auto"/>
              <w:jc w:val="both"/>
              <w:rPr>
                <w:szCs w:val="24"/>
                <w:lang w:val="sq-AL"/>
              </w:rPr>
            </w:pPr>
            <w:r>
              <w:rPr>
                <w:rStyle w:val="IASOIChar"/>
                <w:rFonts w:ascii="Times New Roman" w:hAnsi="Times New Roman"/>
                <w:b w:val="0"/>
                <w:sz w:val="24"/>
                <w:szCs w:val="24"/>
              </w:rPr>
              <w:fldChar w:fldCharType="begin">
                <w:ffData>
                  <w:name w:val=""/>
                  <w:enabled/>
                  <w:calcOnExit w:val="0"/>
                  <w:ddList>
                    <w:listEntry w:val="I brendshëm"/>
                    <w:listEntry w:val="I brendshëm/transpozim i  BE-së/ndërkombëtar"/>
                    <w:listEntry w:val="Transpozim  i BE-së"/>
                    <w:listEntry w:val="Ndërkombëtar"/>
                  </w:ddList>
                </w:ffData>
              </w:fldChar>
            </w:r>
            <w:r>
              <w:rPr>
                <w:rStyle w:val="IASOIChar"/>
                <w:rFonts w:ascii="Times New Roman" w:hAnsi="Times New Roman"/>
                <w:b w:val="0"/>
                <w:sz w:val="24"/>
                <w:szCs w:val="24"/>
              </w:rPr>
              <w:instrText xml:space="preserve"> FORMDROPDOWN </w:instrText>
            </w:r>
            <w:r w:rsidR="005D117E">
              <w:rPr>
                <w:rStyle w:val="IASOIChar"/>
                <w:rFonts w:ascii="Times New Roman" w:hAnsi="Times New Roman"/>
                <w:b w:val="0"/>
                <w:sz w:val="24"/>
                <w:szCs w:val="24"/>
              </w:rPr>
            </w:r>
            <w:r w:rsidR="005D117E">
              <w:rPr>
                <w:rStyle w:val="IASOIChar"/>
                <w:rFonts w:ascii="Times New Roman" w:hAnsi="Times New Roman"/>
                <w:b w:val="0"/>
                <w:sz w:val="24"/>
                <w:szCs w:val="24"/>
              </w:rPr>
              <w:fldChar w:fldCharType="separate"/>
            </w:r>
            <w:r>
              <w:rPr>
                <w:rStyle w:val="IASOIChar"/>
                <w:rFonts w:ascii="Times New Roman" w:hAnsi="Times New Roman"/>
                <w:b w:val="0"/>
                <w:sz w:val="24"/>
                <w:szCs w:val="24"/>
              </w:rPr>
              <w:fldChar w:fldCharType="end"/>
            </w:r>
          </w:p>
        </w:tc>
      </w:tr>
      <w:tr w:rsidR="00C84F64" w:rsidRPr="00325A1F" w14:paraId="48A074B2" w14:textId="77777777" w:rsidTr="007B6556">
        <w:trPr>
          <w:trHeight w:val="557"/>
        </w:trPr>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B22BBE5" w14:textId="77777777" w:rsidR="00CA40EE" w:rsidRPr="00325A1F" w:rsidRDefault="00CA40EE" w:rsidP="007B6556">
            <w:pPr>
              <w:spacing w:line="276" w:lineRule="auto"/>
              <w:rPr>
                <w:b/>
                <w:szCs w:val="24"/>
                <w:lang w:val="sq-AL"/>
              </w:rPr>
            </w:pPr>
            <w:r w:rsidRPr="00325A1F">
              <w:rPr>
                <w:b/>
                <w:szCs w:val="24"/>
                <w:lang w:val="sq-AL"/>
              </w:rPr>
              <w:t xml:space="preserve">DIREKTIVË/RREGULLORE E BE-së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4F3245" w14:textId="777C631E" w:rsidR="00B51927" w:rsidRDefault="001F2C00" w:rsidP="007B6556">
            <w:pPr>
              <w:spacing w:line="276" w:lineRule="auto"/>
              <w:rPr>
                <w:rStyle w:val="IASOIChar"/>
                <w:rFonts w:ascii="Times New Roman" w:hAnsi="Times New Roman"/>
                <w:b w:val="0"/>
                <w:sz w:val="24"/>
                <w:szCs w:val="24"/>
              </w:rPr>
            </w:pPr>
            <w:r>
              <w:rPr>
                <w:rStyle w:val="IASOIChar"/>
                <w:rFonts w:ascii="Times New Roman" w:hAnsi="Times New Roman"/>
                <w:b w:val="0"/>
                <w:sz w:val="24"/>
                <w:szCs w:val="24"/>
              </w:rPr>
              <w:fldChar w:fldCharType="begin">
                <w:ffData>
                  <w:name w:val=""/>
                  <w:enabled/>
                  <w:calcOnExit w:val="0"/>
                  <w:ddList>
                    <w:listEntry w:val="Jo e zbatueshme"/>
                    <w:listEntry w:val="Direktiva / Jo e zbatueshme"/>
                    <w:listEntry w:val="Direktiva"/>
                  </w:ddList>
                </w:ffData>
              </w:fldChar>
            </w:r>
            <w:r>
              <w:rPr>
                <w:rStyle w:val="IASOIChar"/>
                <w:rFonts w:ascii="Times New Roman" w:hAnsi="Times New Roman"/>
                <w:b w:val="0"/>
                <w:sz w:val="24"/>
                <w:szCs w:val="24"/>
              </w:rPr>
              <w:instrText xml:space="preserve"> FORMDROPDOWN </w:instrText>
            </w:r>
            <w:r w:rsidR="005D117E">
              <w:rPr>
                <w:rStyle w:val="IASOIChar"/>
                <w:rFonts w:ascii="Times New Roman" w:hAnsi="Times New Roman"/>
                <w:b w:val="0"/>
                <w:sz w:val="24"/>
                <w:szCs w:val="24"/>
              </w:rPr>
            </w:r>
            <w:r w:rsidR="005D117E">
              <w:rPr>
                <w:rStyle w:val="IASOIChar"/>
                <w:rFonts w:ascii="Times New Roman" w:hAnsi="Times New Roman"/>
                <w:b w:val="0"/>
                <w:sz w:val="24"/>
                <w:szCs w:val="24"/>
              </w:rPr>
              <w:fldChar w:fldCharType="separate"/>
            </w:r>
            <w:r>
              <w:rPr>
                <w:rStyle w:val="IASOIChar"/>
                <w:rFonts w:ascii="Times New Roman" w:hAnsi="Times New Roman"/>
                <w:b w:val="0"/>
                <w:sz w:val="24"/>
                <w:szCs w:val="24"/>
              </w:rPr>
              <w:fldChar w:fldCharType="end"/>
            </w:r>
            <w:r w:rsidR="00584C71" w:rsidRPr="00325A1F">
              <w:rPr>
                <w:rStyle w:val="IASOIChar"/>
                <w:rFonts w:ascii="Times New Roman" w:hAnsi="Times New Roman"/>
                <w:b w:val="0"/>
                <w:sz w:val="24"/>
                <w:szCs w:val="24"/>
              </w:rPr>
              <w:t xml:space="preserve">   </w:t>
            </w:r>
          </w:p>
          <w:p w14:paraId="2E8F403F" w14:textId="7A3D8CE7" w:rsidR="00584C71" w:rsidRPr="00325A1F" w:rsidRDefault="002E753B" w:rsidP="002E753B">
            <w:pPr>
              <w:spacing w:line="276" w:lineRule="auto"/>
              <w:rPr>
                <w:b/>
                <w:szCs w:val="24"/>
                <w:lang w:val="sq-AL"/>
              </w:rPr>
            </w:pPr>
            <w:r>
              <w:rPr>
                <w:szCs w:val="24"/>
              </w:rPr>
              <w:fldChar w:fldCharType="begin">
                <w:ffData>
                  <w:name w:val=""/>
                  <w:enabled/>
                  <w:calcOnExit w:val="0"/>
                  <w:textInput>
                    <w:maxLength w:val="5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sidR="00584C71" w:rsidRPr="00325A1F">
              <w:rPr>
                <w:rStyle w:val="IASOIChar"/>
                <w:rFonts w:ascii="Times New Roman" w:hAnsi="Times New Roman"/>
                <w:b w:val="0"/>
                <w:sz w:val="24"/>
                <w:szCs w:val="24"/>
              </w:rPr>
              <w:t xml:space="preserve">  </w:t>
            </w:r>
          </w:p>
        </w:tc>
      </w:tr>
      <w:tr w:rsidR="00C84F64" w:rsidRPr="00325A1F" w14:paraId="735B259E" w14:textId="77777777" w:rsidTr="007B6556">
        <w:trPr>
          <w:trHeight w:val="980"/>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4EA9B943" w14:textId="77777777" w:rsidR="00CA40EE" w:rsidRPr="00325A1F" w:rsidRDefault="00CA40EE" w:rsidP="007B6556">
            <w:pPr>
              <w:spacing w:line="276" w:lineRule="auto"/>
              <w:rPr>
                <w:b/>
                <w:szCs w:val="24"/>
                <w:lang w:val="sq-AL"/>
              </w:rPr>
            </w:pPr>
            <w:r w:rsidRPr="00325A1F">
              <w:rPr>
                <w:b/>
                <w:szCs w:val="24"/>
                <w:lang w:val="sq-AL"/>
              </w:rPr>
              <w:t>PUBLIKIMET DHE STRATEGJITË E LIDHURA</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352F0E" w14:textId="0FDFF5BA" w:rsidR="00CA40EE" w:rsidRPr="00325A1F" w:rsidRDefault="001F2C00" w:rsidP="00B17990">
            <w:pPr>
              <w:spacing w:line="276" w:lineRule="auto"/>
              <w:jc w:val="both"/>
              <w:rPr>
                <w:szCs w:val="24"/>
                <w:lang w:val="sq-AL"/>
              </w:rPr>
            </w:pPr>
            <w:r>
              <w:t>Programi Qeverisës 2017-2021, pika 3.1 Shteti Ligjor dhe Drejtësia e Re, Rendi dhe Siguria Publike. Rekomandimet e FATF dhe MONEYVAL. Programi i Përgjithshëm analitik.  Planit Kombëtar për Integrimin Evropian, 2021– 2023</w:t>
            </w:r>
          </w:p>
        </w:tc>
      </w:tr>
      <w:tr w:rsidR="00C84F64" w:rsidRPr="00325A1F" w14:paraId="2507E6DF"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ABF1011" w14:textId="77777777" w:rsidR="00CA40EE" w:rsidRPr="00325A1F" w:rsidRDefault="00CA40EE" w:rsidP="007B6556">
            <w:pPr>
              <w:spacing w:line="276" w:lineRule="auto"/>
              <w:rPr>
                <w:b/>
                <w:szCs w:val="24"/>
                <w:lang w:val="sq-AL"/>
              </w:rPr>
            </w:pPr>
            <w:r w:rsidRPr="00325A1F">
              <w:rPr>
                <w:b/>
                <w:szCs w:val="24"/>
                <w:lang w:val="sq-AL"/>
              </w:rPr>
              <w:t>DATA E KONSULTIMIT PUBLIK</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D824C8" w14:textId="3F7861CE" w:rsidR="00CA40EE" w:rsidRPr="00325A1F" w:rsidRDefault="005D117E" w:rsidP="00D7478D">
            <w:pPr>
              <w:spacing w:line="276" w:lineRule="auto"/>
              <w:rPr>
                <w:szCs w:val="24"/>
                <w:lang w:val="sq-AL"/>
              </w:rPr>
            </w:pPr>
            <w:sdt>
              <w:sdtPr>
                <w:rPr>
                  <w:szCs w:val="24"/>
                  <w:lang w:val="en-US"/>
                </w:rPr>
                <w:alias w:val="Data/Asnjë konsultim publik"/>
                <w:tag w:val="Data/Asnjë konsultim publik"/>
                <w:id w:val="2012326733"/>
                <w:placeholder>
                  <w:docPart w:val="FD861CBE38474042B6487F314DCD3331"/>
                </w:placeholder>
                <w:date w:fullDate="2021-04-02T00:00:00Z">
                  <w:dateFormat w:val="dd/MM/yyyy"/>
                  <w:lid w:val="en-US"/>
                  <w:storeMappedDataAs w:val="dateTime"/>
                  <w:calendar w:val="gregorian"/>
                </w:date>
              </w:sdtPr>
              <w:sdtEndPr/>
              <w:sdtContent>
                <w:r w:rsidR="001F2C00">
                  <w:rPr>
                    <w:szCs w:val="24"/>
                    <w:lang w:val="en-US"/>
                  </w:rPr>
                  <w:t>02/04/2021</w:t>
                </w:r>
              </w:sdtContent>
            </w:sdt>
          </w:p>
        </w:tc>
      </w:tr>
      <w:tr w:rsidR="00C84F64" w:rsidRPr="00325A1F" w14:paraId="3A928518"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B30C72A" w14:textId="77777777" w:rsidR="00CA40EE" w:rsidRPr="00325A1F" w:rsidRDefault="00CA40EE" w:rsidP="007B6556">
            <w:pPr>
              <w:spacing w:line="276" w:lineRule="auto"/>
              <w:rPr>
                <w:b/>
                <w:szCs w:val="24"/>
                <w:lang w:val="sq-AL"/>
              </w:rPr>
            </w:pPr>
            <w:r w:rsidRPr="00325A1F">
              <w:rPr>
                <w:b/>
                <w:szCs w:val="24"/>
                <w:lang w:val="sq-AL"/>
              </w:rPr>
              <w:t xml:space="preserve">DATA E VLERËSIMIT TË NDIKIMIT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555B0A" w14:textId="1B49ABAB" w:rsidR="00CA40EE" w:rsidRPr="00325A1F" w:rsidRDefault="005D117E" w:rsidP="001F2C00">
            <w:pPr>
              <w:spacing w:line="276" w:lineRule="auto"/>
              <w:jc w:val="both"/>
              <w:rPr>
                <w:szCs w:val="24"/>
                <w:lang w:val="sq-AL"/>
              </w:rPr>
            </w:pPr>
            <w:sdt>
              <w:sdtPr>
                <w:rPr>
                  <w:szCs w:val="24"/>
                  <w:lang w:val="en-US"/>
                </w:rPr>
                <w:alias w:val="përfundimi  vlerësimit të ndikimit/versioni i fundit i vlerësimit të ndikimit"/>
                <w:tag w:val="Data e përfundimit të vlerësimit të ndikimit/Data kur është përgatitur versioni i fundit të vlerësimit të ndikimit"/>
                <w:id w:val="339123984"/>
                <w:placeholder>
                  <w:docPart w:val="902FE64B29424F659DBB099D6CE88D80"/>
                </w:placeholder>
                <w:date w:fullDate="2021-04-01T00:00:00Z">
                  <w:dateFormat w:val="dd/MM/yyyy"/>
                  <w:lid w:val="en-US"/>
                  <w:storeMappedDataAs w:val="dateTime"/>
                  <w:calendar w:val="gregorian"/>
                </w:date>
              </w:sdtPr>
              <w:sdtEndPr/>
              <w:sdtContent>
                <w:r w:rsidR="00541FA1">
                  <w:rPr>
                    <w:szCs w:val="24"/>
                    <w:lang w:val="en-US"/>
                  </w:rPr>
                  <w:t>01/04/2021</w:t>
                </w:r>
              </w:sdtContent>
            </w:sdt>
          </w:p>
        </w:tc>
      </w:tr>
      <w:tr w:rsidR="00C84F64" w:rsidRPr="00325A1F" w14:paraId="6185A770"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208CA3B" w14:textId="77777777" w:rsidR="00CA40EE" w:rsidRPr="00325A1F" w:rsidRDefault="00CA40EE" w:rsidP="007B6556">
            <w:pPr>
              <w:spacing w:line="276" w:lineRule="auto"/>
              <w:rPr>
                <w:b/>
                <w:szCs w:val="24"/>
                <w:lang w:val="sq-AL"/>
              </w:rPr>
            </w:pPr>
            <w:r w:rsidRPr="00325A1F">
              <w:rPr>
                <w:b/>
                <w:szCs w:val="24"/>
                <w:lang w:val="sq-AL"/>
              </w:rPr>
              <w:t xml:space="preserve">A E KA SHQYRTUAR KRYEMINISTRIA VLERËSIMIN E NDIKIMIT? </w:t>
            </w:r>
          </w:p>
          <w:p w14:paraId="4642EB1C" w14:textId="77777777" w:rsidR="00CA40EE" w:rsidRPr="00325A1F" w:rsidRDefault="00CA40EE" w:rsidP="007B6556">
            <w:pPr>
              <w:spacing w:line="276" w:lineRule="auto"/>
              <w:rPr>
                <w:b/>
                <w:szCs w:val="24"/>
                <w:lang w:val="sq-AL"/>
              </w:rPr>
            </w:pPr>
            <w:r w:rsidRPr="00325A1F">
              <w:rPr>
                <w:b/>
                <w:szCs w:val="24"/>
                <w:lang w:val="sq-AL"/>
              </w:rPr>
              <w:t>NËSE PO, JEPNI DATËN E SHQYRTIMIT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07B033" w14:textId="3D9355FC" w:rsidR="006B131C" w:rsidRPr="00325A1F" w:rsidRDefault="001F2C00" w:rsidP="007B6556">
            <w:pPr>
              <w:spacing w:line="276" w:lineRule="auto"/>
              <w:rPr>
                <w:rStyle w:val="IASOIChar"/>
                <w:rFonts w:ascii="Times New Roman" w:hAnsi="Times New Roman"/>
                <w:b w:val="0"/>
                <w:sz w:val="24"/>
                <w:szCs w:val="24"/>
              </w:rPr>
            </w:pPr>
            <w:r>
              <w:rPr>
                <w:rStyle w:val="IASOIChar"/>
                <w:rFonts w:ascii="Times New Roman" w:hAnsi="Times New Roman"/>
                <w:b w:val="0"/>
                <w:sz w:val="24"/>
                <w:szCs w:val="24"/>
              </w:rPr>
              <w:fldChar w:fldCharType="begin">
                <w:ffData>
                  <w:name w:val="ShqyrtuarKM"/>
                  <w:enabled/>
                  <w:calcOnExit w:val="0"/>
                  <w:ddList>
                    <w:listEntry w:val="Po"/>
                    <w:listEntry w:val="Po/Jo"/>
                    <w:listEntry w:val="Jo"/>
                  </w:ddList>
                </w:ffData>
              </w:fldChar>
            </w:r>
            <w:bookmarkStart w:id="2" w:name="ShqyrtuarKM"/>
            <w:r>
              <w:rPr>
                <w:rStyle w:val="IASOIChar"/>
                <w:rFonts w:ascii="Times New Roman" w:hAnsi="Times New Roman"/>
                <w:b w:val="0"/>
                <w:sz w:val="24"/>
                <w:szCs w:val="24"/>
              </w:rPr>
              <w:instrText xml:space="preserve"> FORMDROPDOWN </w:instrText>
            </w:r>
            <w:r w:rsidR="005D117E">
              <w:rPr>
                <w:rStyle w:val="IASOIChar"/>
                <w:rFonts w:ascii="Times New Roman" w:hAnsi="Times New Roman"/>
                <w:b w:val="0"/>
                <w:sz w:val="24"/>
                <w:szCs w:val="24"/>
              </w:rPr>
            </w:r>
            <w:r w:rsidR="005D117E">
              <w:rPr>
                <w:rStyle w:val="IASOIChar"/>
                <w:rFonts w:ascii="Times New Roman" w:hAnsi="Times New Roman"/>
                <w:b w:val="0"/>
                <w:sz w:val="24"/>
                <w:szCs w:val="24"/>
              </w:rPr>
              <w:fldChar w:fldCharType="separate"/>
            </w:r>
            <w:r>
              <w:rPr>
                <w:rStyle w:val="IASOIChar"/>
                <w:rFonts w:ascii="Times New Roman" w:hAnsi="Times New Roman"/>
                <w:b w:val="0"/>
                <w:sz w:val="24"/>
                <w:szCs w:val="24"/>
              </w:rPr>
              <w:fldChar w:fldCharType="end"/>
            </w:r>
            <w:bookmarkEnd w:id="2"/>
          </w:p>
          <w:p w14:paraId="10427B6C" w14:textId="58A95946" w:rsidR="008326DB" w:rsidRPr="00325A1F" w:rsidRDefault="005D117E" w:rsidP="003B5CBC">
            <w:pPr>
              <w:tabs>
                <w:tab w:val="left" w:pos="795"/>
              </w:tabs>
              <w:spacing w:line="276" w:lineRule="auto"/>
              <w:jc w:val="both"/>
              <w:rPr>
                <w:szCs w:val="24"/>
                <w:lang w:val="sq-AL"/>
              </w:rPr>
            </w:pPr>
            <w:sdt>
              <w:sdtPr>
                <w:rPr>
                  <w:szCs w:val="24"/>
                  <w:lang w:val="en-US"/>
                </w:rPr>
                <w:alias w:val="Data e shqyrtimit nga Kryeministria"/>
                <w:tag w:val="Data e shqyrtimit nga Kryeministria"/>
                <w:id w:val="-1285451"/>
                <w:placeholder>
                  <w:docPart w:val="1AD1A34C84384DA5B2C88EB652FCD115"/>
                </w:placeholder>
                <w:date w:fullDate="2021-04-06T00:00:00Z">
                  <w:dateFormat w:val="dd/MM/yyyy"/>
                  <w:lid w:val="en-US"/>
                  <w:storeMappedDataAs w:val="dateTime"/>
                  <w:calendar w:val="gregorian"/>
                </w:date>
              </w:sdtPr>
              <w:sdtEndPr/>
              <w:sdtContent>
                <w:r w:rsidR="001F2C00">
                  <w:rPr>
                    <w:szCs w:val="24"/>
                    <w:lang w:val="en-US"/>
                  </w:rPr>
                  <w:t>06/04/2021</w:t>
                </w:r>
              </w:sdtContent>
            </w:sdt>
          </w:p>
        </w:tc>
      </w:tr>
      <w:tr w:rsidR="00C84F64" w:rsidRPr="00325A1F" w14:paraId="75141EF4"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755F48" w14:textId="77777777" w:rsidR="00CA40EE" w:rsidRPr="00325A1F" w:rsidRDefault="00CA40EE" w:rsidP="007B6556">
            <w:pPr>
              <w:spacing w:line="276" w:lineRule="auto"/>
              <w:rPr>
                <w:b/>
                <w:szCs w:val="24"/>
                <w:lang w:val="sq-AL"/>
              </w:rPr>
            </w:pPr>
            <w:r w:rsidRPr="00325A1F">
              <w:rPr>
                <w:b/>
                <w:szCs w:val="24"/>
                <w:lang w:val="sq-AL"/>
              </w:rPr>
              <w:t>NUMRI I 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D54711" w14:textId="32082C66" w:rsidR="00CA40EE" w:rsidRPr="00325A1F" w:rsidRDefault="001F2C00" w:rsidP="008C3A66">
            <w:pPr>
              <w:spacing w:line="276" w:lineRule="auto"/>
              <w:rPr>
                <w:szCs w:val="24"/>
                <w:lang w:val="sq-AL"/>
              </w:rPr>
            </w:pPr>
            <w:r>
              <w:rPr>
                <w:szCs w:val="24"/>
              </w:rPr>
              <w:t>202</w:t>
            </w:r>
            <w:r w:rsidR="00F8607A">
              <w:rPr>
                <w:szCs w:val="24"/>
              </w:rPr>
              <w:t>1</w:t>
            </w:r>
            <w:r w:rsidR="00FF0F21" w:rsidRPr="00325A1F">
              <w:rPr>
                <w:szCs w:val="24"/>
                <w:lang w:val="sq-AL"/>
              </w:rPr>
              <w:t xml:space="preserve">– </w:t>
            </w:r>
            <w:r>
              <w:rPr>
                <w:szCs w:val="24"/>
                <w:lang w:val="sq-AL"/>
              </w:rPr>
              <w:t>M</w:t>
            </w:r>
            <w:r>
              <w:rPr>
                <w:szCs w:val="24"/>
              </w:rPr>
              <w:t>D</w:t>
            </w:r>
            <w:r w:rsidR="00B51927" w:rsidRPr="00325A1F">
              <w:rPr>
                <w:rStyle w:val="IASOIChar"/>
                <w:rFonts w:ascii="Times New Roman" w:hAnsi="Times New Roman"/>
                <w:b w:val="0"/>
                <w:sz w:val="24"/>
                <w:szCs w:val="24"/>
              </w:rPr>
              <w:t xml:space="preserve">  </w:t>
            </w:r>
            <w:r w:rsidR="00FF0F21" w:rsidRPr="00325A1F">
              <w:rPr>
                <w:szCs w:val="24"/>
                <w:lang w:val="sq-AL"/>
              </w:rPr>
              <w:t xml:space="preserve">–  </w:t>
            </w:r>
            <w:r w:rsidR="00B51927">
              <w:rPr>
                <w:szCs w:val="24"/>
                <w:lang w:val="sq-AL"/>
              </w:rPr>
              <w:t xml:space="preserve">Nr. </w:t>
            </w:r>
            <w:r w:rsidR="00B51927">
              <w:rPr>
                <w:szCs w:val="24"/>
              </w:rPr>
              <w:fldChar w:fldCharType="begin">
                <w:ffData>
                  <w:name w:val=""/>
                  <w:enabled/>
                  <w:calcOnExit w:val="0"/>
                  <w:textInput>
                    <w:default w:val="VN"/>
                    <w:maxLength w:val="70"/>
                  </w:textInput>
                </w:ffData>
              </w:fldChar>
            </w:r>
            <w:r w:rsidR="00B51927">
              <w:rPr>
                <w:szCs w:val="24"/>
              </w:rPr>
              <w:instrText xml:space="preserve"> FORMTEXT </w:instrText>
            </w:r>
            <w:r w:rsidR="00B51927">
              <w:rPr>
                <w:szCs w:val="24"/>
              </w:rPr>
            </w:r>
            <w:r w:rsidR="00B51927">
              <w:rPr>
                <w:szCs w:val="24"/>
              </w:rPr>
              <w:fldChar w:fldCharType="separate"/>
            </w:r>
            <w:r>
              <w:rPr>
                <w:noProof/>
                <w:szCs w:val="24"/>
              </w:rPr>
              <w:t>1</w:t>
            </w:r>
            <w:r w:rsidR="00B51927">
              <w:rPr>
                <w:szCs w:val="24"/>
              </w:rPr>
              <w:fldChar w:fldCharType="end"/>
            </w:r>
            <w:r w:rsidR="00B51927" w:rsidRPr="00325A1F">
              <w:rPr>
                <w:rStyle w:val="IASOIChar"/>
                <w:rFonts w:ascii="Times New Roman" w:hAnsi="Times New Roman"/>
                <w:b w:val="0"/>
                <w:sz w:val="24"/>
                <w:szCs w:val="24"/>
              </w:rPr>
              <w:t xml:space="preserve">  </w:t>
            </w:r>
          </w:p>
        </w:tc>
      </w:tr>
      <w:tr w:rsidR="00C84F64" w:rsidRPr="00325A1F" w14:paraId="08E498EE"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F4774B" w14:textId="77777777" w:rsidR="00CA40EE" w:rsidRPr="00325A1F" w:rsidRDefault="00CA40EE" w:rsidP="007B6556">
            <w:pPr>
              <w:spacing w:line="276" w:lineRule="auto"/>
              <w:rPr>
                <w:b/>
                <w:szCs w:val="24"/>
                <w:lang w:val="sq-AL"/>
              </w:rPr>
            </w:pPr>
            <w:r w:rsidRPr="00325A1F">
              <w:rPr>
                <w:b/>
                <w:szCs w:val="24"/>
                <w:lang w:val="sq-AL"/>
              </w:rPr>
              <w:t xml:space="preserve">TE DHËNA KONTAKTI </w:t>
            </w:r>
          </w:p>
          <w:p w14:paraId="00914D72" w14:textId="77777777" w:rsidR="00CA40EE" w:rsidRPr="00325A1F" w:rsidRDefault="00CA40EE" w:rsidP="007B6556">
            <w:pPr>
              <w:spacing w:line="276" w:lineRule="auto"/>
              <w:rPr>
                <w:b/>
                <w:szCs w:val="24"/>
                <w:lang w:val="sq-AL"/>
              </w:rPr>
            </w:pPr>
            <w:r w:rsidRPr="00325A1F">
              <w:rPr>
                <w:b/>
                <w:szCs w:val="24"/>
                <w:lang w:val="sq-AL"/>
              </w:rPr>
              <w:t>(EMRI, E-MAIL, NUMRI I TELEFONIT TË PERSONIT TË KONTAKTIT)</w:t>
            </w:r>
          </w:p>
        </w:tc>
        <w:sdt>
          <w:sdtPr>
            <w:rPr>
              <w:szCs w:val="24"/>
              <w:lang w:val="sq-AL"/>
            </w:rPr>
            <w:id w:val="1361013490"/>
            <w:placeholder>
              <w:docPart w:val="DefaultPlaceholder_1081868574"/>
            </w:placeholder>
          </w:sdtPr>
          <w:sdtEndPr/>
          <w:sdtContent>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EDE5E1" w14:textId="5252419D" w:rsidR="001F2C00" w:rsidRDefault="001F2C00" w:rsidP="00B17990">
                <w:pPr>
                  <w:spacing w:line="276" w:lineRule="auto"/>
                  <w:jc w:val="both"/>
                  <w:rPr>
                    <w:szCs w:val="24"/>
                    <w:lang w:val="sq-AL"/>
                  </w:rPr>
                </w:pPr>
                <w:r>
                  <w:rPr>
                    <w:szCs w:val="24"/>
                    <w:lang w:val="sq-AL"/>
                  </w:rPr>
                  <w:t>Roland Stafa</w:t>
                </w:r>
              </w:p>
              <w:p w14:paraId="6154AFAE" w14:textId="3FF5D1F6" w:rsidR="00CA40EE" w:rsidRPr="00325A1F" w:rsidRDefault="001F2C00" w:rsidP="00B17990">
                <w:pPr>
                  <w:spacing w:line="276" w:lineRule="auto"/>
                  <w:jc w:val="both"/>
                  <w:rPr>
                    <w:szCs w:val="24"/>
                    <w:lang w:val="sq-AL"/>
                  </w:rPr>
                </w:pPr>
                <w:r>
                  <w:rPr>
                    <w:szCs w:val="24"/>
                    <w:lang w:val="sq-AL"/>
                  </w:rPr>
                  <w:t>Roland.Stafa@drejtesia.gov.al</w:t>
                </w:r>
              </w:p>
            </w:tc>
          </w:sdtContent>
        </w:sdt>
      </w:tr>
      <w:tr w:rsidR="00CA40EE" w:rsidRPr="00325A1F" w14:paraId="5382CFFE" w14:textId="77777777" w:rsidTr="007B6556">
        <w:trPr>
          <w:trHeight w:val="162"/>
        </w:trPr>
        <w:tc>
          <w:tcPr>
            <w:tcW w:w="9715" w:type="dxa"/>
            <w:gridSpan w:val="2"/>
            <w:tcBorders>
              <w:top w:val="single" w:sz="4" w:space="0" w:color="000000"/>
              <w:left w:val="single" w:sz="4" w:space="0" w:color="000000"/>
              <w:bottom w:val="single" w:sz="4" w:space="0" w:color="000000"/>
              <w:right w:val="single" w:sz="4" w:space="0" w:color="000000"/>
            </w:tcBorders>
          </w:tcPr>
          <w:p w14:paraId="44CBA4EC" w14:textId="77777777" w:rsidR="00CA40EE" w:rsidRPr="00325A1F" w:rsidRDefault="00CA40EE" w:rsidP="007B6556">
            <w:pPr>
              <w:spacing w:line="276" w:lineRule="auto"/>
              <w:jc w:val="both"/>
              <w:rPr>
                <w:b/>
                <w:szCs w:val="24"/>
                <w:lang w:val="sq-AL"/>
              </w:rPr>
            </w:pPr>
          </w:p>
        </w:tc>
      </w:tr>
      <w:tr w:rsidR="00CA40EE" w:rsidRPr="00325A1F" w14:paraId="5E27A2CA" w14:textId="77777777" w:rsidTr="007B6556">
        <w:trPr>
          <w:trHeight w:val="353"/>
        </w:trPr>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6DCB94" w14:textId="06FFA005" w:rsidR="00CA40EE" w:rsidRPr="00325A1F" w:rsidRDefault="00CA40EE" w:rsidP="00C133FC">
            <w:pPr>
              <w:spacing w:line="276" w:lineRule="auto"/>
              <w:jc w:val="both"/>
              <w:rPr>
                <w:b/>
                <w:szCs w:val="24"/>
                <w:lang w:val="sq-AL"/>
              </w:rPr>
            </w:pPr>
            <w:r w:rsidRPr="00325A1F">
              <w:rPr>
                <w:b/>
                <w:szCs w:val="24"/>
                <w:lang w:val="sq-AL"/>
              </w:rPr>
              <w:t xml:space="preserve">PJESA 1: PËRMBLEDHJE EKZEKUTIVE </w:t>
            </w:r>
            <w:r w:rsidR="00C133FC">
              <w:rPr>
                <w:b/>
                <w:szCs w:val="24"/>
                <w:lang w:val="sq-AL"/>
              </w:rPr>
              <w:t>(maksimumi 2 faqe)</w:t>
            </w:r>
          </w:p>
        </w:tc>
      </w:tr>
      <w:tr w:rsidR="00CA40EE" w:rsidRPr="000D5974" w14:paraId="677778F6" w14:textId="77777777" w:rsidTr="007B6556">
        <w:trPr>
          <w:trHeight w:val="552"/>
        </w:trPr>
        <w:tc>
          <w:tcPr>
            <w:tcW w:w="9715" w:type="dxa"/>
            <w:gridSpan w:val="2"/>
            <w:tcBorders>
              <w:top w:val="single" w:sz="4" w:space="0" w:color="000000"/>
              <w:left w:val="single" w:sz="4" w:space="0" w:color="000000"/>
              <w:bottom w:val="single" w:sz="4" w:space="0" w:color="000000"/>
              <w:right w:val="single" w:sz="4" w:space="0" w:color="000000"/>
            </w:tcBorders>
          </w:tcPr>
          <w:p w14:paraId="319CF7CD" w14:textId="77777777" w:rsidR="00CA40EE" w:rsidRPr="00325A1F" w:rsidRDefault="00CA40EE" w:rsidP="007B6556">
            <w:pPr>
              <w:spacing w:line="276" w:lineRule="auto"/>
              <w:jc w:val="both"/>
              <w:rPr>
                <w:b/>
                <w:szCs w:val="24"/>
                <w:lang w:val="sq-AL"/>
              </w:rPr>
            </w:pPr>
            <w:r w:rsidRPr="00325A1F">
              <w:rPr>
                <w:b/>
                <w:szCs w:val="24"/>
                <w:lang w:val="sq-AL"/>
              </w:rPr>
              <w:t>PËRKUFIZIMI I PROBLEMIT</w:t>
            </w:r>
          </w:p>
          <w:p w14:paraId="04059F76" w14:textId="27F0E1D2" w:rsidR="00071110" w:rsidRPr="000D5974" w:rsidRDefault="001E0D36" w:rsidP="00027038">
            <w:pPr>
              <w:spacing w:line="276" w:lineRule="auto"/>
              <w:jc w:val="both"/>
              <w:rPr>
                <w:i/>
                <w:szCs w:val="24"/>
                <w:lang w:val="sq-AL"/>
              </w:rPr>
            </w:pPr>
            <w:r>
              <w:rPr>
                <w:i/>
                <w:szCs w:val="24"/>
              </w:rPr>
              <w:fldChar w:fldCharType="begin">
                <w:ffData>
                  <w:name w:val="PerkufizimProblemi"/>
                  <w:enabled w:val="0"/>
                  <w:calcOnExit w:val="0"/>
                  <w:textInput>
                    <w:default w:val="Cili është problemi në shqyrtim dhe cilat janë shkaqet e tij? Jepni arsyet e nevojës së ndërhyrjes së qeverisë. (jo më shumë se 10 rreshta) "/>
                    <w:maxLength w:val="780"/>
                  </w:textInput>
                </w:ffData>
              </w:fldChar>
            </w:r>
            <w:bookmarkStart w:id="3" w:name="PerkufizimProblemi"/>
            <w:r w:rsidRPr="000D5974">
              <w:rPr>
                <w:i/>
                <w:szCs w:val="24"/>
                <w:lang w:val="sq-AL"/>
              </w:rPr>
              <w:instrText xml:space="preserve"> FORMTEXT </w:instrText>
            </w:r>
            <w:r>
              <w:rPr>
                <w:i/>
                <w:szCs w:val="24"/>
              </w:rPr>
            </w:r>
            <w:r>
              <w:rPr>
                <w:i/>
                <w:szCs w:val="24"/>
              </w:rPr>
              <w:fldChar w:fldCharType="separate"/>
            </w:r>
            <w:r w:rsidRPr="000D5974">
              <w:rPr>
                <w:i/>
                <w:noProof/>
                <w:szCs w:val="24"/>
                <w:lang w:val="sq-AL"/>
              </w:rPr>
              <w:t xml:space="preserve">Cili është problemi në shqyrtim dhe cilat janë shkaqet e tij? Jepni arsyet e nevojës së ndërhyrjes së qeverisë. (jo më shumë se 10 rreshta) </w:t>
            </w:r>
            <w:r>
              <w:rPr>
                <w:i/>
                <w:szCs w:val="24"/>
              </w:rPr>
              <w:fldChar w:fldCharType="end"/>
            </w:r>
            <w:bookmarkEnd w:id="3"/>
          </w:p>
          <w:p w14:paraId="08630028" w14:textId="435C6D09" w:rsidR="001E0D36" w:rsidRDefault="001F2C00" w:rsidP="00541FA1">
            <w:pPr>
              <w:jc w:val="both"/>
            </w:pPr>
            <w:r>
              <w:t>Kohët e fundit në RSH është vënë re nevoja për avancimin e luftës ndaj krimit dhe problematika e pastrimit të parave dhe financimit të terrorizmit që vijnë si pasojë e zhvil</w:t>
            </w:r>
            <w:r w:rsidR="00DD2D41">
              <w:t>limit të veprimtarive kriminale</w:t>
            </w:r>
            <w:r>
              <w:t xml:space="preserve"> dhe vendi është futur në listën gri të rrezikut nga këto fenomene. Ky problem prek në mënyrë të pashmangshme disa sektorë të rëndësishëm të ekonomisë, tregut, konkurrencës, interesat e qytetarëve dhe bisneseve, si dhe ndikon drejtpërdrejtë në shtetin e së drejtës. Nevoja për ndërhyrje lidhet me angazhimin</w:t>
            </w:r>
            <w:r w:rsidRPr="00E12FAE">
              <w:t xml:space="preserve"> </w:t>
            </w:r>
            <w:r>
              <w:t>intensiv të Qeverisë</w:t>
            </w:r>
            <w:r w:rsidRPr="00E12FAE">
              <w:t xml:space="preserve"> për të përmbushur rekomandimet</w:t>
            </w:r>
            <w:r w:rsidR="00541FA1">
              <w:t xml:space="preserve"> e</w:t>
            </w:r>
            <w:r w:rsidRPr="00E12FAE">
              <w:t xml:space="preserve"> </w:t>
            </w:r>
            <w:r>
              <w:t>FATF dhe MONEYVAL,</w:t>
            </w:r>
            <w:r w:rsidRPr="00E12FAE">
              <w:t xml:space="preserve"> në kuadër të luftës kundër</w:t>
            </w:r>
            <w:r>
              <w:t xml:space="preserve"> këtyre fenomeneve, </w:t>
            </w:r>
            <w:r w:rsidR="00541FA1">
              <w:t xml:space="preserve">si </w:t>
            </w:r>
            <w:r>
              <w:t xml:space="preserve">dhe në kuadër të pikës 3.1 të Programit Qeverisës 2017-2021. </w:t>
            </w:r>
          </w:p>
          <w:p w14:paraId="4843AE03" w14:textId="7B96E631" w:rsidR="0014166A" w:rsidRPr="000D5974" w:rsidRDefault="0014166A" w:rsidP="00541FA1">
            <w:pPr>
              <w:jc w:val="both"/>
              <w:rPr>
                <w:lang w:val="sq-AL"/>
              </w:rPr>
            </w:pPr>
            <w:r w:rsidRPr="00DF5271">
              <w:rPr>
                <w:szCs w:val="24"/>
              </w:rPr>
              <w:t>Projektligji ndërhyn me masa të shpejta e të nevojshme rregullatore për të kontrolluar dhe parandaluar depërtimin e elementëve kriminalë në profesionin e noterit, për të adresuar rastet kur pas licencimit të tyre, zëvendësnoterët dhe noterët përfshihen në veprimtari kriminale përfshi këtu edhe pastrimin e para</w:t>
            </w:r>
            <w:r>
              <w:rPr>
                <w:szCs w:val="24"/>
              </w:rPr>
              <w:t>ve dhe financimin e terrorizmit, si dhe për të garantuar integritetin dhe besueshmërinë e të interesuarve, kandidatëve për noter, zëvendësnoterëve e noterëve.</w:t>
            </w:r>
          </w:p>
        </w:tc>
      </w:tr>
      <w:tr w:rsidR="00CA40EE" w:rsidRPr="00325A1F" w14:paraId="39CA30C9" w14:textId="77777777" w:rsidTr="007B6556">
        <w:trPr>
          <w:trHeight w:val="543"/>
        </w:trPr>
        <w:tc>
          <w:tcPr>
            <w:tcW w:w="9715" w:type="dxa"/>
            <w:gridSpan w:val="2"/>
            <w:tcBorders>
              <w:top w:val="single" w:sz="4" w:space="0" w:color="000000"/>
              <w:left w:val="single" w:sz="4" w:space="0" w:color="000000"/>
              <w:bottom w:val="single" w:sz="4" w:space="0" w:color="000000"/>
              <w:right w:val="single" w:sz="4" w:space="0" w:color="000000"/>
            </w:tcBorders>
          </w:tcPr>
          <w:p w14:paraId="6D686755" w14:textId="6BC2B85F" w:rsidR="00CA40EE" w:rsidRPr="00325A1F" w:rsidRDefault="00CA40EE" w:rsidP="007B6556">
            <w:pPr>
              <w:spacing w:line="276" w:lineRule="auto"/>
              <w:jc w:val="both"/>
              <w:rPr>
                <w:b/>
                <w:i/>
                <w:szCs w:val="24"/>
                <w:lang w:val="sq-AL"/>
              </w:rPr>
            </w:pPr>
            <w:r w:rsidRPr="00325A1F">
              <w:rPr>
                <w:b/>
                <w:szCs w:val="24"/>
                <w:lang w:val="sq-AL"/>
              </w:rPr>
              <w:t>OBJEKTIVAT</w:t>
            </w:r>
          </w:p>
          <w:p w14:paraId="07A69F56" w14:textId="58AF77E9" w:rsidR="008576E4" w:rsidRDefault="006E7CFB" w:rsidP="00C05B46">
            <w:pPr>
              <w:spacing w:line="276" w:lineRule="auto"/>
              <w:jc w:val="both"/>
              <w:rPr>
                <w:i/>
                <w:szCs w:val="24"/>
              </w:rPr>
            </w:pPr>
            <w:r>
              <w:rPr>
                <w:i/>
                <w:szCs w:val="24"/>
              </w:rPr>
              <w:fldChar w:fldCharType="begin">
                <w:ffData>
                  <w:name w:val="Objektivat"/>
                  <w:enabled w:val="0"/>
                  <w:calcOnExit w:val="0"/>
                  <w:textInput>
                    <w:default w:val="Cilat janë objektivat dhe rezultatet e synuara të propozimit? (jo më shumë se 7  rreshta)"/>
                    <w:maxLength w:val="546"/>
                  </w:textInput>
                </w:ffData>
              </w:fldChar>
            </w:r>
            <w:bookmarkStart w:id="4" w:name="Objektivat"/>
            <w:r>
              <w:rPr>
                <w:i/>
                <w:szCs w:val="24"/>
              </w:rPr>
              <w:instrText xml:space="preserve"> FORMTEXT </w:instrText>
            </w:r>
            <w:r>
              <w:rPr>
                <w:i/>
                <w:szCs w:val="24"/>
              </w:rPr>
            </w:r>
            <w:r>
              <w:rPr>
                <w:i/>
                <w:szCs w:val="24"/>
              </w:rPr>
              <w:fldChar w:fldCharType="separate"/>
            </w:r>
            <w:r>
              <w:rPr>
                <w:i/>
                <w:noProof/>
                <w:szCs w:val="24"/>
              </w:rPr>
              <w:t>Cilat janë objektivat dhe rezultatet e synuara të propozimit? (jo më shumë se 7  rreshta)</w:t>
            </w:r>
            <w:r>
              <w:rPr>
                <w:i/>
                <w:szCs w:val="24"/>
              </w:rPr>
              <w:fldChar w:fldCharType="end"/>
            </w:r>
            <w:bookmarkEnd w:id="4"/>
          </w:p>
          <w:p w14:paraId="17670F58" w14:textId="316CAD4E" w:rsidR="001F2C00" w:rsidRPr="00C0675F" w:rsidRDefault="00C0675F" w:rsidP="001F2C00">
            <w:pPr>
              <w:jc w:val="both"/>
            </w:pPr>
            <w:r>
              <w:t xml:space="preserve">1. </w:t>
            </w:r>
            <w:r w:rsidR="001F2C00" w:rsidRPr="00C0675F">
              <w:t xml:space="preserve">Plotësimi i ligjit me masa </w:t>
            </w:r>
            <w:r w:rsidR="00A928C9" w:rsidRPr="00C0675F">
              <w:t xml:space="preserve">konkrete </w:t>
            </w:r>
            <w:r w:rsidR="001F2C00" w:rsidRPr="00C0675F">
              <w:t xml:space="preserve">për </w:t>
            </w:r>
            <w:r w:rsidR="00A928C9" w:rsidRPr="00C0675F">
              <w:t>vazhdimin</w:t>
            </w:r>
            <w:r w:rsidR="00541FA1">
              <w:t xml:space="preserve"> </w:t>
            </w:r>
            <w:r w:rsidR="00A928C9" w:rsidRPr="00C0675F">
              <w:t>e</w:t>
            </w:r>
            <w:r w:rsidR="001F2C00" w:rsidRPr="00C0675F">
              <w:t xml:space="preserve"> luftës ndaj kriminalitetit dhe pastrimit të parave e financimit të terrorizmit</w:t>
            </w:r>
            <w:r w:rsidR="00A928C9" w:rsidRPr="00C0675F">
              <w:t>, brenda vitit 2021</w:t>
            </w:r>
            <w:r w:rsidR="001F2C00" w:rsidRPr="00C0675F">
              <w:t xml:space="preserve">; </w:t>
            </w:r>
          </w:p>
          <w:p w14:paraId="67C45F95" w14:textId="00B83184" w:rsidR="001F2C00" w:rsidRPr="00C0675F" w:rsidRDefault="001F2C00" w:rsidP="001F2C00">
            <w:pPr>
              <w:jc w:val="both"/>
            </w:pPr>
            <w:r w:rsidRPr="00C0675F">
              <w:lastRenderedPageBreak/>
              <w:t xml:space="preserve">2. </w:t>
            </w:r>
            <w:r w:rsidR="00C0675F" w:rsidRPr="00C0675F">
              <w:rPr>
                <w:color w:val="000000" w:themeColor="text1"/>
              </w:rPr>
              <w:t>Përmbushja e rekomandimeve ndërkombëtare të caktuara për Ministrinë e Drejtësisë në fushën e noterisë brenda vitit 2021</w:t>
            </w:r>
            <w:r w:rsidR="00541FA1">
              <w:rPr>
                <w:color w:val="000000" w:themeColor="text1"/>
              </w:rPr>
              <w:t>,</w:t>
            </w:r>
            <w:r w:rsidR="00C0675F" w:rsidRPr="00C0675F">
              <w:rPr>
                <w:color w:val="000000" w:themeColor="text1"/>
              </w:rPr>
              <w:t xml:space="preserve"> me qëllim nxjerrjen e vendit nga lista e vendeve “nën monitorim të shtuar”</w:t>
            </w:r>
            <w:r w:rsidRPr="00C0675F">
              <w:t>;</w:t>
            </w:r>
          </w:p>
          <w:p w14:paraId="7393D54E" w14:textId="3FC61407" w:rsidR="001F2C00" w:rsidRPr="00C0675F" w:rsidRDefault="001F2C00" w:rsidP="001F2C00">
            <w:pPr>
              <w:jc w:val="both"/>
            </w:pPr>
            <w:r w:rsidRPr="00C0675F">
              <w:t xml:space="preserve">3. </w:t>
            </w:r>
            <w:r w:rsidR="00C0675F" w:rsidRPr="00C0675F">
              <w:rPr>
                <w:color w:val="000000" w:themeColor="text1"/>
              </w:rPr>
              <w:t>Parandalimi i depërtimit dhe goditja e elementëve kriminalë në radhët e no</w:t>
            </w:r>
            <w:r w:rsidR="00C0675F">
              <w:rPr>
                <w:color w:val="000000" w:themeColor="text1"/>
              </w:rPr>
              <w:t>terëve dhe zëvendësnoterëve</w:t>
            </w:r>
            <w:r w:rsidRPr="00C0675F">
              <w:t>;</w:t>
            </w:r>
          </w:p>
          <w:p w14:paraId="096B0D0C" w14:textId="1C73E5AD" w:rsidR="001F2C00" w:rsidRPr="00C0675F" w:rsidRDefault="001F2C00" w:rsidP="001F2C00">
            <w:pPr>
              <w:jc w:val="both"/>
            </w:pPr>
            <w:r w:rsidRPr="00C0675F">
              <w:t xml:space="preserve">4. </w:t>
            </w:r>
            <w:r w:rsidR="0086116B" w:rsidRPr="00C0675F">
              <w:rPr>
                <w:color w:val="000000" w:themeColor="text1"/>
              </w:rPr>
              <w:t xml:space="preserve">Ulja e rrisqeve dhe praktikave të pastrimit të parave dhe financimit të terrorizmit nga noterët </w:t>
            </w:r>
            <w:r w:rsidR="0086116B" w:rsidRPr="00C0675F">
              <w:t xml:space="preserve"> </w:t>
            </w:r>
            <w:r w:rsidR="00DD2D41">
              <w:t>brenda</w:t>
            </w:r>
            <w:r w:rsidR="00541FA1">
              <w:t xml:space="preserve"> 3 viteve të ardhsh</w:t>
            </w:r>
            <w:r w:rsidR="0086116B" w:rsidRPr="00C0675F">
              <w:t>m</w:t>
            </w:r>
            <w:r w:rsidR="00541FA1">
              <w:t>e</w:t>
            </w:r>
            <w:r w:rsidR="0086116B" w:rsidRPr="00C0675F">
              <w:t>, nëpërmjet zbatimit rigoroz të kritereve të licensimit dhe marrjes së masave parandaluese e ndëshkuese për të garantuar zbatimin me korrektësi të legjislacionit në fuqi</w:t>
            </w:r>
            <w:r w:rsidRPr="00C0675F">
              <w:t>;</w:t>
            </w:r>
          </w:p>
          <w:p w14:paraId="61C410ED" w14:textId="077A1872" w:rsidR="001E0D36" w:rsidRPr="00325A1F" w:rsidRDefault="00DD2D41" w:rsidP="002A3897">
            <w:pPr>
              <w:jc w:val="both"/>
            </w:pPr>
            <w:r>
              <w:t>5. Forcimi i integritetit dhe</w:t>
            </w:r>
            <w:r w:rsidR="001F2C00" w:rsidRPr="00C0675F">
              <w:t xml:space="preserve"> figurës së noterit</w:t>
            </w:r>
            <w:r w:rsidR="002A3897">
              <w:t xml:space="preserve">, </w:t>
            </w:r>
            <w:r w:rsidR="001F2C00" w:rsidRPr="00C0675F">
              <w:t>rritj</w:t>
            </w:r>
            <w:r w:rsidR="002A3897">
              <w:t>a</w:t>
            </w:r>
            <w:r w:rsidR="001F2C00" w:rsidRPr="00C0675F">
              <w:t xml:space="preserve"> e cilësisë së shërbimit </w:t>
            </w:r>
            <w:r w:rsidR="002A3897">
              <w:t>notarial, si dhe rritja e besimit të publikut të profesioni i noterit</w:t>
            </w:r>
            <w:r w:rsidR="001F2C00" w:rsidRPr="00C0675F">
              <w:t>.</w:t>
            </w:r>
          </w:p>
        </w:tc>
      </w:tr>
      <w:tr w:rsidR="00CA40EE" w:rsidRPr="00325A1F" w14:paraId="3F92AAA3"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4E008628" w14:textId="7693849C" w:rsidR="00CA40EE" w:rsidRPr="00325A1F" w:rsidRDefault="008576E4" w:rsidP="007B6556">
            <w:pPr>
              <w:spacing w:line="276" w:lineRule="auto"/>
              <w:jc w:val="both"/>
              <w:rPr>
                <w:b/>
                <w:szCs w:val="24"/>
                <w:lang w:val="sq-AL"/>
              </w:rPr>
            </w:pPr>
            <w:r w:rsidRPr="00325A1F">
              <w:rPr>
                <w:b/>
                <w:szCs w:val="24"/>
                <w:lang w:val="sq-AL"/>
              </w:rPr>
              <w:lastRenderedPageBreak/>
              <w:t>OPSIONET E POLITIKAVE</w:t>
            </w:r>
          </w:p>
          <w:p w14:paraId="7F696100" w14:textId="69C96E0E" w:rsidR="008576E4" w:rsidRDefault="006E7CFB" w:rsidP="00027038">
            <w:pPr>
              <w:spacing w:line="276" w:lineRule="auto"/>
              <w:jc w:val="both"/>
              <w:rPr>
                <w:i/>
                <w:szCs w:val="24"/>
              </w:rPr>
            </w:pPr>
            <w:r>
              <w:rPr>
                <w:i/>
                <w:szCs w:val="24"/>
              </w:rPr>
              <w:fldChar w:fldCharType="begin">
                <w:ffData>
                  <w:name w:val=""/>
                  <w:enabled w:val="0"/>
                  <w:calcOnExit w:val="0"/>
                  <w:textInput>
                    <w:default w:val="Cilat janë opsionet kryesore të politikave? Duhet të bëni krahasimin e avantazheve/përfitimeve kryesore dhe të dizavantazheve/kostove të opsioneve të mundshme.  (jo më shumë se 7 rreshta)"/>
                    <w:maxLength w:val="546"/>
                  </w:textInput>
                </w:ffData>
              </w:fldChar>
            </w:r>
            <w:r>
              <w:rPr>
                <w:i/>
                <w:szCs w:val="24"/>
              </w:rPr>
              <w:instrText xml:space="preserve"> FORMTEXT </w:instrText>
            </w:r>
            <w:r>
              <w:rPr>
                <w:i/>
                <w:szCs w:val="24"/>
              </w:rPr>
            </w:r>
            <w:r>
              <w:rPr>
                <w:i/>
                <w:szCs w:val="24"/>
              </w:rPr>
              <w:fldChar w:fldCharType="separate"/>
            </w:r>
            <w:r>
              <w:rPr>
                <w:i/>
                <w:noProof/>
                <w:szCs w:val="24"/>
              </w:rPr>
              <w:t>Cilat janë opsionet kryesore të politikave? Duhet të bëni krahasimin e avantazheve/përfitimeve kryesore dhe të dizavantazheve/kostove të opsioneve të mundshme.  (jo më shumë se 7 rreshta)</w:t>
            </w:r>
            <w:r>
              <w:rPr>
                <w:i/>
                <w:szCs w:val="24"/>
              </w:rPr>
              <w:fldChar w:fldCharType="end"/>
            </w:r>
          </w:p>
          <w:p w14:paraId="7A6BAF3B" w14:textId="77777777" w:rsidR="001F2C00" w:rsidRDefault="001F2C00" w:rsidP="001F2C00">
            <w:pPr>
              <w:spacing w:line="276" w:lineRule="auto"/>
              <w:jc w:val="both"/>
              <w:rPr>
                <w:rFonts w:eastAsiaTheme="majorEastAsia"/>
              </w:rPr>
            </w:pPr>
            <w:r w:rsidRPr="00B45AF1">
              <w:rPr>
                <w:rFonts w:eastAsiaTheme="majorEastAsia"/>
                <w:b/>
              </w:rPr>
              <w:t xml:space="preserve">Opsioni 0 (status quo): </w:t>
            </w:r>
            <w:r>
              <w:rPr>
                <w:rFonts w:eastAsiaTheme="majorEastAsia"/>
              </w:rPr>
              <w:t>N</w:t>
            </w:r>
            <w:r w:rsidRPr="00B45AF1">
              <w:rPr>
                <w:rFonts w:eastAsiaTheme="majorEastAsia"/>
              </w:rPr>
              <w:t>uk do të ndërhyjmë me ndryshim</w:t>
            </w:r>
            <w:r>
              <w:rPr>
                <w:rFonts w:eastAsiaTheme="majorEastAsia"/>
              </w:rPr>
              <w:t xml:space="preserve"> apo politikë të re.</w:t>
            </w:r>
          </w:p>
          <w:p w14:paraId="102E6B3E" w14:textId="7FBC1794" w:rsidR="001F2C00" w:rsidRDefault="001F2C00" w:rsidP="001F2C00">
            <w:pPr>
              <w:spacing w:line="276" w:lineRule="auto"/>
              <w:jc w:val="both"/>
              <w:rPr>
                <w:rFonts w:eastAsiaTheme="majorEastAsia"/>
              </w:rPr>
            </w:pPr>
            <w:r>
              <w:rPr>
                <w:rFonts w:eastAsiaTheme="majorEastAsia"/>
              </w:rPr>
              <w:t>Ruhen standardet aktuale për ushtrimin e profesionit por</w:t>
            </w:r>
            <w:r w:rsidR="00DD2D41">
              <w:rPr>
                <w:rFonts w:eastAsiaTheme="majorEastAsia"/>
              </w:rPr>
              <w:t>,</w:t>
            </w:r>
            <w:r>
              <w:rPr>
                <w:rFonts w:eastAsiaTheme="majorEastAsia"/>
              </w:rPr>
              <w:t xml:space="preserve"> nuk arrihet rezultati i pritshëm në luftën ndaj krimit dhe parandalimit të pastrimit të parave dhe përmbushj</w:t>
            </w:r>
            <w:r w:rsidR="00DD2D41">
              <w:rPr>
                <w:rFonts w:eastAsiaTheme="majorEastAsia"/>
              </w:rPr>
              <w:t>a e</w:t>
            </w:r>
            <w:r>
              <w:rPr>
                <w:rFonts w:eastAsiaTheme="majorEastAsia"/>
              </w:rPr>
              <w:t xml:space="preserve"> detyrimeve ndërkombëtare.</w:t>
            </w:r>
          </w:p>
          <w:p w14:paraId="5FD4D6DA" w14:textId="77777777" w:rsidR="001F2C00" w:rsidRDefault="001F2C00" w:rsidP="001F2C00">
            <w:pPr>
              <w:spacing w:line="276" w:lineRule="auto"/>
              <w:jc w:val="both"/>
              <w:rPr>
                <w:rFonts w:eastAsiaTheme="majorEastAsia"/>
              </w:rPr>
            </w:pPr>
          </w:p>
          <w:p w14:paraId="03436548" w14:textId="77777777" w:rsidR="001F2C00" w:rsidRDefault="001F2C00" w:rsidP="001F2C00">
            <w:pPr>
              <w:spacing w:line="276" w:lineRule="auto"/>
              <w:jc w:val="both"/>
              <w:rPr>
                <w:rFonts w:eastAsiaTheme="majorEastAsia"/>
              </w:rPr>
            </w:pPr>
            <w:r>
              <w:rPr>
                <w:rFonts w:eastAsiaTheme="majorEastAsia"/>
                <w:b/>
              </w:rPr>
              <w:t xml:space="preserve">Opsioni 1 (jo rregullator): </w:t>
            </w:r>
          </w:p>
          <w:p w14:paraId="4B9126D7" w14:textId="4C1BAAB2" w:rsidR="001F2C00" w:rsidRPr="006C1916" w:rsidRDefault="001F2C00" w:rsidP="001F2C00">
            <w:pPr>
              <w:spacing w:line="276" w:lineRule="auto"/>
              <w:jc w:val="both"/>
              <w:rPr>
                <w:rFonts w:eastAsiaTheme="majorEastAsia"/>
              </w:rPr>
            </w:pPr>
            <w:r>
              <w:rPr>
                <w:rFonts w:eastAsiaTheme="majorEastAsia"/>
              </w:rPr>
              <w:t>Vetërregullimi ose ndërgjegjësimi i noterëve nuk adreson siç duhet problemin me masat e duhura.</w:t>
            </w:r>
          </w:p>
          <w:p w14:paraId="1A8BDBFA" w14:textId="77777777" w:rsidR="001F2C00" w:rsidRDefault="001F2C00" w:rsidP="001F2C00">
            <w:pPr>
              <w:spacing w:line="276" w:lineRule="auto"/>
              <w:jc w:val="both"/>
              <w:rPr>
                <w:rFonts w:eastAsiaTheme="majorEastAsia"/>
                <w:b/>
              </w:rPr>
            </w:pPr>
          </w:p>
          <w:p w14:paraId="0282D672" w14:textId="77777777" w:rsidR="001F2C00" w:rsidRDefault="001F2C00" w:rsidP="001F2C00">
            <w:pPr>
              <w:spacing w:line="276" w:lineRule="auto"/>
              <w:jc w:val="both"/>
              <w:rPr>
                <w:rFonts w:eastAsiaTheme="majorEastAsia"/>
              </w:rPr>
            </w:pPr>
            <w:r>
              <w:rPr>
                <w:rFonts w:eastAsiaTheme="majorEastAsia"/>
                <w:b/>
              </w:rPr>
              <w:t xml:space="preserve">Opsioni 2 </w:t>
            </w:r>
            <w:r w:rsidRPr="002310B2">
              <w:rPr>
                <w:rFonts w:eastAsiaTheme="majorEastAsia"/>
                <w:b/>
              </w:rPr>
              <w:t>(rregullator)</w:t>
            </w:r>
            <w:r w:rsidRPr="000F7E33">
              <w:rPr>
                <w:rFonts w:eastAsiaTheme="majorEastAsia"/>
                <w:b/>
              </w:rPr>
              <w:t>:</w:t>
            </w:r>
            <w:r w:rsidRPr="000F7E33">
              <w:rPr>
                <w:rFonts w:eastAsiaTheme="majorEastAsia"/>
              </w:rPr>
              <w:t xml:space="preserve"> Ndryshimi i ligjit ekzistues dhe hartimi i akteve nënligjore për zbatimin e këtyre ndryshimeve. </w:t>
            </w:r>
          </w:p>
          <w:p w14:paraId="706997F9" w14:textId="77777777" w:rsidR="001F2C00" w:rsidRDefault="001F2C00" w:rsidP="001F2C00">
            <w:pPr>
              <w:spacing w:line="276" w:lineRule="auto"/>
              <w:jc w:val="both"/>
              <w:rPr>
                <w:rFonts w:eastAsiaTheme="majorEastAsia"/>
              </w:rPr>
            </w:pPr>
            <w:r>
              <w:rPr>
                <w:rFonts w:eastAsiaTheme="majorEastAsia"/>
              </w:rPr>
              <w:t>Ndryshimi i ligjit është një masë e mjaftueshme dhe e përshtatshme për adresimin e problemit dhe përmbush detyrimet ndërkombëtare.</w:t>
            </w:r>
          </w:p>
          <w:p w14:paraId="1DF80D05" w14:textId="77777777" w:rsidR="001F2C00" w:rsidRPr="006C1916" w:rsidRDefault="001F2C00" w:rsidP="001F2C00">
            <w:pPr>
              <w:spacing w:line="276" w:lineRule="auto"/>
              <w:jc w:val="both"/>
              <w:rPr>
                <w:rFonts w:eastAsiaTheme="majorEastAsia"/>
              </w:rPr>
            </w:pPr>
          </w:p>
          <w:p w14:paraId="5018300A" w14:textId="77777777" w:rsidR="001F2C00" w:rsidRDefault="001F2C00" w:rsidP="001F2C00">
            <w:pPr>
              <w:spacing w:line="276" w:lineRule="auto"/>
              <w:jc w:val="both"/>
              <w:rPr>
                <w:rFonts w:eastAsiaTheme="majorEastAsia"/>
              </w:rPr>
            </w:pPr>
            <w:r>
              <w:rPr>
                <w:rFonts w:eastAsiaTheme="majorEastAsia"/>
                <w:b/>
              </w:rPr>
              <w:t>Opsioni 3 (rregullator)</w:t>
            </w:r>
            <w:r w:rsidRPr="000F7E33">
              <w:rPr>
                <w:rFonts w:eastAsiaTheme="majorEastAsia"/>
              </w:rPr>
              <w:t xml:space="preserve">: Hartimi i një ligji të ri. </w:t>
            </w:r>
          </w:p>
          <w:p w14:paraId="58BF57A8" w14:textId="4AF7C474" w:rsidR="001E0D36" w:rsidRPr="00325A1F" w:rsidRDefault="001F2C00" w:rsidP="001F2C00">
            <w:pPr>
              <w:jc w:val="both"/>
              <w:rPr>
                <w:lang w:val="sq-AL"/>
              </w:rPr>
            </w:pPr>
            <w:r>
              <w:rPr>
                <w:szCs w:val="24"/>
              </w:rPr>
              <w:t>P</w:t>
            </w:r>
            <w:r w:rsidRPr="00AA3582">
              <w:rPr>
                <w:szCs w:val="24"/>
              </w:rPr>
              <w:t>roblem</w:t>
            </w:r>
            <w:r>
              <w:rPr>
                <w:szCs w:val="24"/>
              </w:rPr>
              <w:t xml:space="preserve">i </w:t>
            </w:r>
            <w:r w:rsidRPr="00AA3582">
              <w:rPr>
                <w:szCs w:val="24"/>
              </w:rPr>
              <w:t>mund të adresohe</w:t>
            </w:r>
            <w:r>
              <w:rPr>
                <w:szCs w:val="24"/>
              </w:rPr>
              <w:t>t më thjeshtë përmes</w:t>
            </w:r>
            <w:r w:rsidRPr="00AA3582">
              <w:rPr>
                <w:szCs w:val="24"/>
              </w:rPr>
              <w:t xml:space="preserve"> ndryshime</w:t>
            </w:r>
            <w:r>
              <w:rPr>
                <w:szCs w:val="24"/>
              </w:rPr>
              <w:t>ve në ligj,</w:t>
            </w:r>
            <w:r>
              <w:t xml:space="preserve"> ndërkohë hartimi i një ligji të ri vështirëson zbatimin e tij për shkak të mosunifikimit të dispozitave që rregullojnë të njëjtën fushë.</w:t>
            </w:r>
          </w:p>
        </w:tc>
      </w:tr>
      <w:tr w:rsidR="00CA40EE" w:rsidRPr="00325A1F" w14:paraId="7ED6FC4A"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78A90A8D" w14:textId="77777777" w:rsidR="00CA40EE" w:rsidRPr="00325A1F" w:rsidRDefault="00CA40EE" w:rsidP="007B6556">
            <w:pPr>
              <w:spacing w:line="276" w:lineRule="auto"/>
              <w:jc w:val="both"/>
              <w:rPr>
                <w:b/>
                <w:szCs w:val="24"/>
                <w:lang w:val="sq-AL"/>
              </w:rPr>
            </w:pPr>
            <w:r w:rsidRPr="00325A1F">
              <w:rPr>
                <w:b/>
                <w:szCs w:val="24"/>
                <w:lang w:val="sq-AL"/>
              </w:rPr>
              <w:t>ANALIZA E NDIKIMEVE</w:t>
            </w:r>
          </w:p>
          <w:p w14:paraId="577AE608" w14:textId="69BFFA09" w:rsidR="004045D6" w:rsidRDefault="006E7CFB" w:rsidP="00027038">
            <w:pPr>
              <w:spacing w:line="276" w:lineRule="auto"/>
              <w:jc w:val="both"/>
              <w:rPr>
                <w:i/>
                <w:szCs w:val="24"/>
              </w:rPr>
            </w:pPr>
            <w:r>
              <w:rPr>
                <w:i/>
                <w:szCs w:val="24"/>
              </w:rPr>
              <w:fldChar w:fldCharType="begin">
                <w:ffData>
                  <w:name w:val=""/>
                  <w:enabled w:val="0"/>
                  <w:calcOnExit w:val="0"/>
                  <w:textInput>
                    <w:default w:val="Cilat janë ndikimet e opsionit të preferuar? Kjo duhet të përshkruajë ndikimet në mënyrë sasiore  (monetare) dhe cilësore (narrative) mbi buxhetin dhe grupet e tjera të prekura. (jo më shumë se 10 rreshta)"/>
                    <w:maxLength w:val="780"/>
                  </w:textInput>
                </w:ffData>
              </w:fldChar>
            </w:r>
            <w:r>
              <w:rPr>
                <w:i/>
                <w:szCs w:val="24"/>
              </w:rPr>
              <w:instrText xml:space="preserve"> FORMTEXT </w:instrText>
            </w:r>
            <w:r>
              <w:rPr>
                <w:i/>
                <w:szCs w:val="24"/>
              </w:rPr>
            </w:r>
            <w:r>
              <w:rPr>
                <w:i/>
                <w:szCs w:val="24"/>
              </w:rPr>
              <w:fldChar w:fldCharType="separate"/>
            </w:r>
            <w:r>
              <w:rPr>
                <w:i/>
                <w:noProof/>
                <w:szCs w:val="24"/>
              </w:rPr>
              <w:t>Cilat janë ndikimet e opsionit të preferuar? Kjo duhet të përshkruajë ndikimet në mënyrë sasiore  (monetare) dhe cilësore (narrative) mbi buxhetin dhe grupet e tjera të prekura. (jo më shumë se 10 rreshta)</w:t>
            </w:r>
            <w:r>
              <w:rPr>
                <w:i/>
                <w:szCs w:val="24"/>
              </w:rPr>
              <w:fldChar w:fldCharType="end"/>
            </w:r>
          </w:p>
          <w:p w14:paraId="21135CAC" w14:textId="6D407534" w:rsidR="001E0D36" w:rsidRPr="004045D6" w:rsidRDefault="00541FA1" w:rsidP="00DD2D41">
            <w:pPr>
              <w:spacing w:line="276" w:lineRule="auto"/>
              <w:jc w:val="both"/>
              <w:rPr>
                <w:i/>
                <w:szCs w:val="24"/>
              </w:rPr>
            </w:pPr>
            <w:r>
              <w:rPr>
                <w:szCs w:val="24"/>
              </w:rPr>
              <w:t>Opsioni 2</w:t>
            </w:r>
            <w:r w:rsidR="00DD2D41">
              <w:rPr>
                <w:szCs w:val="24"/>
              </w:rPr>
              <w:t xml:space="preserve"> është opsioni i preferuar sepse</w:t>
            </w:r>
            <w:r w:rsidR="001F2C00">
              <w:rPr>
                <w:szCs w:val="24"/>
              </w:rPr>
              <w:t xml:space="preserve"> ndryshimi i ligjit ka ndikim të drejtëpërdrejtë në përmirësimin e situatës dhe kuadrit ligjor pasi parashikon masa të përshtatshme për parandalimin e depërt</w:t>
            </w:r>
            <w:r w:rsidR="00DD2D41">
              <w:rPr>
                <w:szCs w:val="24"/>
              </w:rPr>
              <w:t>imit të elementëve kriminalë, në</w:t>
            </w:r>
            <w:r w:rsidR="001F2C00">
              <w:rPr>
                <w:szCs w:val="24"/>
              </w:rPr>
              <w:t xml:space="preserve"> marrjen e masave si pezullimi ose heqja e </w:t>
            </w:r>
            <w:r>
              <w:rPr>
                <w:szCs w:val="24"/>
              </w:rPr>
              <w:t>licencës</w:t>
            </w:r>
            <w:r w:rsidR="001F2C00">
              <w:rPr>
                <w:szCs w:val="24"/>
              </w:rPr>
              <w:t xml:space="preserve"> nëse rezulton se zëvendësnoteri ose</w:t>
            </w:r>
            <w:r>
              <w:rPr>
                <w:szCs w:val="24"/>
              </w:rPr>
              <w:t xml:space="preserve"> noteri</w:t>
            </w:r>
            <w:r w:rsidR="001F2C00">
              <w:rPr>
                <w:szCs w:val="24"/>
              </w:rPr>
              <w:t xml:space="preserve"> përfshihet në veprimtari kriminale, kryen vepra penale ose nuk gëzon integritet të lartë profesional, në rritjen e efektivitetit të luftës ndaj këtyre fenomeneve,</w:t>
            </w:r>
            <w:r>
              <w:rPr>
                <w:szCs w:val="24"/>
              </w:rPr>
              <w:t xml:space="preserve"> në</w:t>
            </w:r>
            <w:r w:rsidR="001F2C00">
              <w:rPr>
                <w:szCs w:val="24"/>
              </w:rPr>
              <w:t xml:space="preserve"> përmirësimin e kushteve për të ushtrua</w:t>
            </w:r>
            <w:r>
              <w:rPr>
                <w:szCs w:val="24"/>
              </w:rPr>
              <w:t xml:space="preserve">r profesionin dhe në </w:t>
            </w:r>
            <w:r w:rsidR="001F2C00">
              <w:rPr>
                <w:szCs w:val="24"/>
              </w:rPr>
              <w:t xml:space="preserve">përjashtimin e elementëve të papërshtatshëm. Gjithashtu, ky opsion ka ndikim jo të drejtëpërdrejtë në garantimin e një tregu të lirë dhe të ndershëm, forcimin e konkurrencës, mbrojtjen e interesave të qytetarëve, përmirësimin e klimës së biznesit, </w:t>
            </w:r>
            <w:r>
              <w:rPr>
                <w:szCs w:val="24"/>
              </w:rPr>
              <w:t xml:space="preserve"> në</w:t>
            </w:r>
            <w:r w:rsidR="001F2C00">
              <w:rPr>
                <w:szCs w:val="24"/>
              </w:rPr>
              <w:t xml:space="preserve"> rritjen e</w:t>
            </w:r>
            <w:r w:rsidR="00103996">
              <w:rPr>
                <w:szCs w:val="24"/>
              </w:rPr>
              <w:t xml:space="preserve"> besimit të publikut, si dhe</w:t>
            </w:r>
            <w:r w:rsidR="001F2C00">
              <w:rPr>
                <w:szCs w:val="24"/>
              </w:rPr>
              <w:t xml:space="preserve"> </w:t>
            </w:r>
            <w:r w:rsidR="00103996">
              <w:rPr>
                <w:szCs w:val="24"/>
              </w:rPr>
              <w:t xml:space="preserve">në rritjen </w:t>
            </w:r>
            <w:r w:rsidR="001F2C00">
              <w:rPr>
                <w:szCs w:val="24"/>
              </w:rPr>
              <w:t>cilë</w:t>
            </w:r>
            <w:r>
              <w:rPr>
                <w:szCs w:val="24"/>
              </w:rPr>
              <w:t>si</w:t>
            </w:r>
            <w:r w:rsidR="001F2C00">
              <w:rPr>
                <w:szCs w:val="24"/>
              </w:rPr>
              <w:t>së së shërbimit që i ofrohet qytetarëve. Ky opsion</w:t>
            </w:r>
            <w:r w:rsidR="001F2C00" w:rsidRPr="002C3FC2">
              <w:rPr>
                <w:szCs w:val="24"/>
              </w:rPr>
              <w:t xml:space="preserve"> nuk ka ndikim me vlerë monetare të përcaktuar mbi buxhetin e shtetit, pasi ndryshimet ligjore nuk paraqesin kosto shtesë</w:t>
            </w:r>
            <w:r w:rsidR="001F2C00">
              <w:rPr>
                <w:szCs w:val="24"/>
              </w:rPr>
              <w:t>.</w:t>
            </w:r>
            <w:r w:rsidR="001E0D36">
              <w:rPr>
                <w:i/>
                <w:szCs w:val="24"/>
              </w:rPr>
              <w:fldChar w:fldCharType="begin">
                <w:ffData>
                  <w:name w:val=""/>
                  <w:enabled/>
                  <w:calcOnExit w:val="0"/>
                  <w:textInput>
                    <w:maxLength w:val="780"/>
                  </w:textInput>
                </w:ffData>
              </w:fldChar>
            </w:r>
            <w:r w:rsidR="001E0D36">
              <w:rPr>
                <w:i/>
                <w:szCs w:val="24"/>
              </w:rPr>
              <w:instrText xml:space="preserve"> FORMTEXT </w:instrText>
            </w:r>
            <w:r w:rsidR="001E0D36">
              <w:rPr>
                <w:i/>
                <w:szCs w:val="24"/>
              </w:rPr>
            </w:r>
            <w:r w:rsidR="001E0D36">
              <w:rPr>
                <w:i/>
                <w:szCs w:val="24"/>
              </w:rPr>
              <w:fldChar w:fldCharType="separate"/>
            </w:r>
            <w:r w:rsidR="001E0D36">
              <w:rPr>
                <w:i/>
                <w:noProof/>
                <w:szCs w:val="24"/>
              </w:rPr>
              <w:t> </w:t>
            </w:r>
            <w:r w:rsidR="001E0D36">
              <w:rPr>
                <w:i/>
                <w:noProof/>
                <w:szCs w:val="24"/>
              </w:rPr>
              <w:t> </w:t>
            </w:r>
            <w:r w:rsidR="001E0D36">
              <w:rPr>
                <w:i/>
                <w:noProof/>
                <w:szCs w:val="24"/>
              </w:rPr>
              <w:t> </w:t>
            </w:r>
            <w:r w:rsidR="001E0D36">
              <w:rPr>
                <w:i/>
                <w:noProof/>
                <w:szCs w:val="24"/>
              </w:rPr>
              <w:t> </w:t>
            </w:r>
            <w:r w:rsidR="001E0D36">
              <w:rPr>
                <w:i/>
                <w:noProof/>
                <w:szCs w:val="24"/>
              </w:rPr>
              <w:t> </w:t>
            </w:r>
            <w:r w:rsidR="001E0D36">
              <w:rPr>
                <w:i/>
                <w:szCs w:val="24"/>
              </w:rPr>
              <w:fldChar w:fldCharType="end"/>
            </w:r>
          </w:p>
        </w:tc>
      </w:tr>
      <w:tr w:rsidR="00CA40EE" w:rsidRPr="00325A1F" w14:paraId="62F2DF3F"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18999081" w14:textId="77777777" w:rsidR="00CA40EE" w:rsidRPr="00325A1F" w:rsidRDefault="00CA40EE" w:rsidP="007B6556">
            <w:pPr>
              <w:spacing w:line="276" w:lineRule="auto"/>
              <w:jc w:val="both"/>
              <w:rPr>
                <w:b/>
                <w:szCs w:val="24"/>
                <w:lang w:val="sq-AL"/>
              </w:rPr>
            </w:pPr>
            <w:r w:rsidRPr="00325A1F">
              <w:rPr>
                <w:b/>
                <w:szCs w:val="24"/>
                <w:lang w:val="sq-AL"/>
              </w:rPr>
              <w:t xml:space="preserve">ARSYETIMI I OPSIONIT TË PREFERUAR </w:t>
            </w:r>
          </w:p>
          <w:p w14:paraId="7B73C018" w14:textId="5733FF13" w:rsidR="006B4B0D" w:rsidRDefault="006E7CFB" w:rsidP="00027038">
            <w:pPr>
              <w:spacing w:line="276" w:lineRule="auto"/>
              <w:jc w:val="both"/>
              <w:rPr>
                <w:i/>
                <w:szCs w:val="24"/>
              </w:rPr>
            </w:pPr>
            <w:r>
              <w:rPr>
                <w:i/>
                <w:szCs w:val="24"/>
              </w:rPr>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Pr>
                <w:i/>
                <w:szCs w:val="24"/>
              </w:rPr>
              <w:instrText xml:space="preserve"> FORMTEXT </w:instrText>
            </w:r>
            <w:r>
              <w:rPr>
                <w:i/>
                <w:szCs w:val="24"/>
              </w:rPr>
            </w:r>
            <w:r>
              <w:rPr>
                <w:i/>
                <w:szCs w:val="24"/>
              </w:rPr>
              <w:fldChar w:fldCharType="separate"/>
            </w:r>
            <w:r>
              <w:rPr>
                <w:i/>
                <w:noProof/>
                <w:szCs w:val="24"/>
              </w:rPr>
              <w:t>Shpjegoni arsyet për zgjedhjen e opsionit të preferuar. Ju lutemi jepni nëse është e mundur koston dhe përfitimin me vlerë të përcaktuar monetare. (jo më shumë se 7 rreshta)</w:t>
            </w:r>
            <w:r>
              <w:rPr>
                <w:i/>
                <w:szCs w:val="24"/>
              </w:rPr>
              <w:fldChar w:fldCharType="end"/>
            </w:r>
          </w:p>
          <w:p w14:paraId="4538229C" w14:textId="26B2E1EC" w:rsidR="001F2C00" w:rsidRPr="006C1916" w:rsidRDefault="001F2C00" w:rsidP="001F2C00">
            <w:pPr>
              <w:spacing w:line="276" w:lineRule="auto"/>
              <w:jc w:val="both"/>
              <w:rPr>
                <w:szCs w:val="24"/>
              </w:rPr>
            </w:pPr>
            <w:r>
              <w:rPr>
                <w:szCs w:val="24"/>
              </w:rPr>
              <w:t>Opsioni 2 është opsioni i preferuar pasi realizon objektivat dhe rezultatet e synuara të propozimit.  Përmes ndryshimeve</w:t>
            </w:r>
            <w:r w:rsidR="00541FA1">
              <w:rPr>
                <w:szCs w:val="24"/>
              </w:rPr>
              <w:t xml:space="preserve"> do të</w:t>
            </w:r>
            <w:r>
              <w:rPr>
                <w:szCs w:val="24"/>
              </w:rPr>
              <w:t xml:space="preserve"> arrihet një ndërhyrje minimale në kuadrin ligjor që rregullon fushën e noterisë, duke e bërë më të qartë dhe më të thjeshtë zbatimin e tij. Ky opsion gjithashtu është i mjaftueshëm dhe i përshtatshëm për të arritur objektivat dhe synimet pasi adreson në mënyrë </w:t>
            </w:r>
            <w:r>
              <w:rPr>
                <w:szCs w:val="24"/>
              </w:rPr>
              <w:lastRenderedPageBreak/>
              <w:t>efektive problemin dhe rekomandimet ndërkombëtare. Ndërkohë opsioni jo rregullator dhe ai i mosndërhyrjes, ruajnë standardet aktuale të cilët nuk e zgjidhin problemin pasi nuk përbëjnë masa efektive. Hartimi i një ligji të ri nuk është i nevojshëm përderisa nuk kemi të bëjmë me ndryshime thelbësore të veprimtarisë noteriale por</w:t>
            </w:r>
            <w:r w:rsidR="00DD2D41">
              <w:rPr>
                <w:szCs w:val="24"/>
              </w:rPr>
              <w:t>,</w:t>
            </w:r>
            <w:r>
              <w:rPr>
                <w:szCs w:val="24"/>
              </w:rPr>
              <w:t xml:space="preserve"> me rregullime të cilat mund të inkuadrohen në legjislacion përmes ndryshimeve</w:t>
            </w:r>
            <w:r w:rsidR="00541FA1">
              <w:rPr>
                <w:szCs w:val="24"/>
              </w:rPr>
              <w:t xml:space="preserve"> në ligjin aktual</w:t>
            </w:r>
            <w:r>
              <w:rPr>
                <w:szCs w:val="24"/>
              </w:rPr>
              <w:t>. Ky projektakt</w:t>
            </w:r>
            <w:r w:rsidRPr="002C3FC2">
              <w:rPr>
                <w:szCs w:val="24"/>
              </w:rPr>
              <w:t xml:space="preserve"> nuk </w:t>
            </w:r>
            <w:r>
              <w:rPr>
                <w:szCs w:val="24"/>
              </w:rPr>
              <w:t>sjell</w:t>
            </w:r>
            <w:r w:rsidRPr="002C3FC2">
              <w:rPr>
                <w:szCs w:val="24"/>
              </w:rPr>
              <w:t xml:space="preserve"> ndikim</w:t>
            </w:r>
            <w:r>
              <w:rPr>
                <w:szCs w:val="24"/>
              </w:rPr>
              <w:t>e</w:t>
            </w:r>
            <w:r w:rsidRPr="002C3FC2">
              <w:rPr>
                <w:szCs w:val="24"/>
              </w:rPr>
              <w:t xml:space="preserve"> me vlerë monetare të përcaktuar mbi buxhetin e shtetit, pasi ndryshimet ligjore nuk paraqesin kosto shtesë</w:t>
            </w:r>
            <w:r>
              <w:rPr>
                <w:szCs w:val="24"/>
              </w:rPr>
              <w:t>.</w:t>
            </w:r>
          </w:p>
          <w:p w14:paraId="194BDF36" w14:textId="23FA34C6" w:rsidR="001E0D36" w:rsidRPr="00325A1F" w:rsidRDefault="001E0D36" w:rsidP="001E0D36">
            <w:pPr>
              <w:spacing w:line="276" w:lineRule="auto"/>
              <w:jc w:val="both"/>
              <w:rPr>
                <w:i/>
                <w:szCs w:val="24"/>
              </w:rPr>
            </w:pPr>
            <w:r>
              <w:rPr>
                <w:i/>
                <w:szCs w:val="24"/>
              </w:rPr>
              <w:fldChar w:fldCharType="begin">
                <w:ffData>
                  <w:name w:val=""/>
                  <w:enabled/>
                  <w:calcOnExit w:val="0"/>
                  <w:textInput>
                    <w:maxLength w:val="546"/>
                  </w:textInput>
                </w:ffData>
              </w:fldChar>
            </w:r>
            <w:r>
              <w:rPr>
                <w:i/>
                <w:szCs w:val="24"/>
              </w:rPr>
              <w:instrText xml:space="preserve"> FORMTEXT </w:instrText>
            </w:r>
            <w:r>
              <w:rPr>
                <w:i/>
                <w:szCs w:val="24"/>
              </w:rPr>
            </w:r>
            <w:r>
              <w:rPr>
                <w:i/>
                <w:szCs w:val="24"/>
              </w:rPr>
              <w:fldChar w:fldCharType="separate"/>
            </w:r>
            <w:r>
              <w:rPr>
                <w:i/>
                <w:noProof/>
                <w:szCs w:val="24"/>
              </w:rPr>
              <w:t> </w:t>
            </w:r>
            <w:r>
              <w:rPr>
                <w:i/>
                <w:noProof/>
                <w:szCs w:val="24"/>
              </w:rPr>
              <w:t> </w:t>
            </w:r>
            <w:r>
              <w:rPr>
                <w:i/>
                <w:noProof/>
                <w:szCs w:val="24"/>
              </w:rPr>
              <w:t> </w:t>
            </w:r>
            <w:r>
              <w:rPr>
                <w:i/>
                <w:noProof/>
                <w:szCs w:val="24"/>
              </w:rPr>
              <w:t> </w:t>
            </w:r>
            <w:r>
              <w:rPr>
                <w:i/>
                <w:noProof/>
                <w:szCs w:val="24"/>
              </w:rPr>
              <w:t> </w:t>
            </w:r>
            <w:r>
              <w:rPr>
                <w:i/>
                <w:szCs w:val="24"/>
              </w:rPr>
              <w:fldChar w:fldCharType="end"/>
            </w:r>
          </w:p>
          <w:p w14:paraId="081152A3" w14:textId="77777777" w:rsidR="00CA40EE" w:rsidRPr="00325A1F" w:rsidRDefault="00CA40EE" w:rsidP="007B6556">
            <w:pPr>
              <w:spacing w:line="276" w:lineRule="auto"/>
              <w:jc w:val="both"/>
              <w:rPr>
                <w:b/>
                <w:szCs w:val="24"/>
                <w:lang w:val="sq-AL"/>
              </w:rPr>
            </w:pPr>
            <w:r w:rsidRPr="00325A1F">
              <w:rPr>
                <w:b/>
                <w:szCs w:val="24"/>
                <w:lang w:val="sq-AL"/>
              </w:rPr>
              <w:t>Kostoja e përllogaritur në total e opsionit të preferuar mbi buxhetin e shtetit gjatë periudhës 3-vjeçare menjëherë pas miratimit të ligjit (kostoja në total në lek, çmimet aktuale, në terma nominalë):</w:t>
            </w:r>
          </w:p>
          <w:tbl>
            <w:tblPr>
              <w:tblStyle w:val="TableGrid"/>
              <w:tblW w:w="0" w:type="auto"/>
              <w:tblLayout w:type="fixed"/>
              <w:tblLook w:val="04A0" w:firstRow="1" w:lastRow="0" w:firstColumn="1" w:lastColumn="0" w:noHBand="0" w:noVBand="1"/>
            </w:tblPr>
            <w:tblGrid>
              <w:gridCol w:w="2928"/>
              <w:gridCol w:w="2928"/>
              <w:gridCol w:w="2929"/>
            </w:tblGrid>
            <w:tr w:rsidR="00CA40EE" w:rsidRPr="00325A1F" w14:paraId="1CC39370" w14:textId="77777777" w:rsidTr="006B4B0D">
              <w:tc>
                <w:tcPr>
                  <w:tcW w:w="2928" w:type="dxa"/>
                  <w:shd w:val="clear" w:color="auto" w:fill="D9D9D9" w:themeFill="background1" w:themeFillShade="D9"/>
                </w:tcPr>
                <w:p w14:paraId="1B9BFA5A" w14:textId="1E23552A" w:rsidR="00CA40EE" w:rsidRPr="00325A1F" w:rsidRDefault="00CA40EE" w:rsidP="00347A9B">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00315292" w:rsidRPr="00325A1F">
                    <w:rPr>
                      <w:b/>
                      <w:szCs w:val="24"/>
                      <w:u w:val="single"/>
                    </w:rPr>
                    <w:fldChar w:fldCharType="begin">
                      <w:ffData>
                        <w:name w:val="viti1"/>
                        <w:enabled/>
                        <w:calcOnExit w:val="0"/>
                        <w:textInput>
                          <w:type w:val="number"/>
                          <w:default w:val="1"/>
                          <w:maxLength w:val="4"/>
                        </w:textInput>
                      </w:ffData>
                    </w:fldChar>
                  </w:r>
                  <w:bookmarkStart w:id="5" w:name="viti1"/>
                  <w:r w:rsidR="00315292" w:rsidRPr="00325A1F">
                    <w:rPr>
                      <w:b/>
                      <w:szCs w:val="24"/>
                      <w:u w:val="single"/>
                    </w:rPr>
                    <w:instrText xml:space="preserve"> FORMTEXT </w:instrText>
                  </w:r>
                  <w:r w:rsidR="00315292" w:rsidRPr="00325A1F">
                    <w:rPr>
                      <w:b/>
                      <w:szCs w:val="24"/>
                      <w:u w:val="single"/>
                    </w:rPr>
                  </w:r>
                  <w:r w:rsidR="00315292" w:rsidRPr="00325A1F">
                    <w:rPr>
                      <w:b/>
                      <w:szCs w:val="24"/>
                      <w:u w:val="single"/>
                    </w:rPr>
                    <w:fldChar w:fldCharType="separate"/>
                  </w:r>
                  <w:r w:rsidR="00315292" w:rsidRPr="00325A1F">
                    <w:rPr>
                      <w:b/>
                      <w:noProof/>
                      <w:szCs w:val="24"/>
                      <w:u w:val="single"/>
                    </w:rPr>
                    <w:t>1</w:t>
                  </w:r>
                  <w:r w:rsidR="00315292" w:rsidRPr="00325A1F">
                    <w:rPr>
                      <w:b/>
                      <w:szCs w:val="24"/>
                      <w:u w:val="single"/>
                    </w:rPr>
                    <w:fldChar w:fldCharType="end"/>
                  </w:r>
                  <w:bookmarkEnd w:id="5"/>
                </w:p>
              </w:tc>
              <w:tc>
                <w:tcPr>
                  <w:tcW w:w="2928" w:type="dxa"/>
                  <w:shd w:val="clear" w:color="auto" w:fill="D9D9D9" w:themeFill="background1" w:themeFillShade="D9"/>
                </w:tcPr>
                <w:p w14:paraId="49E01EF1" w14:textId="3A024822" w:rsidR="00CA40EE" w:rsidRPr="00325A1F" w:rsidRDefault="00CA40EE" w:rsidP="00347A9B">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00315292" w:rsidRPr="00325A1F">
                    <w:rPr>
                      <w:b/>
                      <w:szCs w:val="24"/>
                      <w:u w:val="single"/>
                    </w:rPr>
                    <w:fldChar w:fldCharType="begin">
                      <w:ffData>
                        <w:name w:val=""/>
                        <w:enabled/>
                        <w:calcOnExit w:val="0"/>
                        <w:textInput>
                          <w:type w:val="number"/>
                          <w:default w:val="2"/>
                          <w:maxLength w:val="4"/>
                        </w:textInput>
                      </w:ffData>
                    </w:fldChar>
                  </w:r>
                  <w:r w:rsidR="00315292" w:rsidRPr="00325A1F">
                    <w:rPr>
                      <w:b/>
                      <w:szCs w:val="24"/>
                      <w:u w:val="single"/>
                    </w:rPr>
                    <w:instrText xml:space="preserve"> FORMTEXT </w:instrText>
                  </w:r>
                  <w:r w:rsidR="00315292" w:rsidRPr="00325A1F">
                    <w:rPr>
                      <w:b/>
                      <w:szCs w:val="24"/>
                      <w:u w:val="single"/>
                    </w:rPr>
                  </w:r>
                  <w:r w:rsidR="00315292" w:rsidRPr="00325A1F">
                    <w:rPr>
                      <w:b/>
                      <w:szCs w:val="24"/>
                      <w:u w:val="single"/>
                    </w:rPr>
                    <w:fldChar w:fldCharType="separate"/>
                  </w:r>
                  <w:r w:rsidR="00315292" w:rsidRPr="00325A1F">
                    <w:rPr>
                      <w:b/>
                      <w:noProof/>
                      <w:szCs w:val="24"/>
                      <w:u w:val="single"/>
                    </w:rPr>
                    <w:t>2</w:t>
                  </w:r>
                  <w:r w:rsidR="00315292" w:rsidRPr="00325A1F">
                    <w:rPr>
                      <w:b/>
                      <w:szCs w:val="24"/>
                      <w:u w:val="single"/>
                    </w:rPr>
                    <w:fldChar w:fldCharType="end"/>
                  </w:r>
                </w:p>
              </w:tc>
              <w:tc>
                <w:tcPr>
                  <w:tcW w:w="2929" w:type="dxa"/>
                  <w:shd w:val="clear" w:color="auto" w:fill="D9D9D9" w:themeFill="background1" w:themeFillShade="D9"/>
                </w:tcPr>
                <w:p w14:paraId="360FF1FF" w14:textId="0987F3A1" w:rsidR="00CA40EE" w:rsidRPr="00325A1F" w:rsidRDefault="00CA40EE" w:rsidP="00347A9B">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00315292" w:rsidRPr="00325A1F">
                    <w:rPr>
                      <w:b/>
                      <w:szCs w:val="24"/>
                      <w:u w:val="single"/>
                    </w:rPr>
                    <w:fldChar w:fldCharType="begin">
                      <w:ffData>
                        <w:name w:val=""/>
                        <w:enabled/>
                        <w:calcOnExit w:val="0"/>
                        <w:textInput>
                          <w:type w:val="number"/>
                          <w:default w:val="3"/>
                          <w:maxLength w:val="4"/>
                        </w:textInput>
                      </w:ffData>
                    </w:fldChar>
                  </w:r>
                  <w:r w:rsidR="00315292" w:rsidRPr="00325A1F">
                    <w:rPr>
                      <w:b/>
                      <w:szCs w:val="24"/>
                      <w:u w:val="single"/>
                    </w:rPr>
                    <w:instrText xml:space="preserve"> FORMTEXT </w:instrText>
                  </w:r>
                  <w:r w:rsidR="00315292" w:rsidRPr="00325A1F">
                    <w:rPr>
                      <w:b/>
                      <w:szCs w:val="24"/>
                      <w:u w:val="single"/>
                    </w:rPr>
                  </w:r>
                  <w:r w:rsidR="00315292" w:rsidRPr="00325A1F">
                    <w:rPr>
                      <w:b/>
                      <w:szCs w:val="24"/>
                      <w:u w:val="single"/>
                    </w:rPr>
                    <w:fldChar w:fldCharType="separate"/>
                  </w:r>
                  <w:r w:rsidR="00315292" w:rsidRPr="00325A1F">
                    <w:rPr>
                      <w:b/>
                      <w:noProof/>
                      <w:szCs w:val="24"/>
                      <w:u w:val="single"/>
                    </w:rPr>
                    <w:t>3</w:t>
                  </w:r>
                  <w:r w:rsidR="00315292" w:rsidRPr="00325A1F">
                    <w:rPr>
                      <w:b/>
                      <w:szCs w:val="24"/>
                      <w:u w:val="single"/>
                    </w:rPr>
                    <w:fldChar w:fldCharType="end"/>
                  </w:r>
                </w:p>
              </w:tc>
            </w:tr>
            <w:tr w:rsidR="00CA40EE" w:rsidRPr="00325A1F" w14:paraId="34733A01" w14:textId="77777777" w:rsidTr="00027038">
              <w:trPr>
                <w:trHeight w:val="350"/>
              </w:trPr>
              <w:tc>
                <w:tcPr>
                  <w:tcW w:w="2928" w:type="dxa"/>
                </w:tcPr>
                <w:p w14:paraId="15FBF453" w14:textId="31CFD69E" w:rsidR="00CA40EE" w:rsidRPr="00325A1F" w:rsidRDefault="0044034F" w:rsidP="00347A9B">
                  <w:pPr>
                    <w:framePr w:hSpace="187" w:wrap="around" w:vAnchor="page" w:hAnchor="margin" w:y="1758"/>
                    <w:tabs>
                      <w:tab w:val="center" w:pos="1356"/>
                      <w:tab w:val="right" w:pos="2712"/>
                    </w:tabs>
                    <w:spacing w:line="276" w:lineRule="auto"/>
                    <w:suppressOverlap/>
                    <w:jc w:val="center"/>
                    <w:rPr>
                      <w:b/>
                      <w:szCs w:val="24"/>
                      <w:lang w:val="sq-AL"/>
                    </w:rPr>
                  </w:pPr>
                  <w:r w:rsidRPr="0044034F">
                    <w:rPr>
                      <w:color w:val="808080" w:themeColor="background1" w:themeShade="80"/>
                      <w:szCs w:val="24"/>
                    </w:rPr>
                    <w:fldChar w:fldCharType="begin">
                      <w:ffData>
                        <w:name w:val=""/>
                        <w:enabled/>
                        <w:calcOnExit/>
                        <w:textInput>
                          <w:type w:val="number"/>
                          <w:default w:val="0"/>
                          <w:maxLength w:val="20"/>
                        </w:textInput>
                      </w:ffData>
                    </w:fldChar>
                  </w:r>
                  <w:r w:rsidRPr="0044034F">
                    <w:rPr>
                      <w:color w:val="808080" w:themeColor="background1" w:themeShade="80"/>
                      <w:szCs w:val="24"/>
                    </w:rPr>
                    <w:instrText xml:space="preserve"> FORMTEXT </w:instrText>
                  </w:r>
                  <w:r w:rsidRPr="0044034F">
                    <w:rPr>
                      <w:color w:val="808080" w:themeColor="background1" w:themeShade="80"/>
                      <w:szCs w:val="24"/>
                    </w:rPr>
                  </w:r>
                  <w:r w:rsidRPr="0044034F">
                    <w:rPr>
                      <w:color w:val="808080" w:themeColor="background1" w:themeShade="80"/>
                      <w:szCs w:val="24"/>
                    </w:rPr>
                    <w:fldChar w:fldCharType="separate"/>
                  </w:r>
                  <w:r w:rsidRPr="0044034F">
                    <w:rPr>
                      <w:noProof/>
                      <w:color w:val="808080" w:themeColor="background1" w:themeShade="80"/>
                      <w:szCs w:val="24"/>
                    </w:rPr>
                    <w:t>0</w:t>
                  </w:r>
                  <w:r w:rsidRPr="0044034F">
                    <w:rPr>
                      <w:color w:val="808080" w:themeColor="background1" w:themeShade="80"/>
                      <w:szCs w:val="24"/>
                    </w:rPr>
                    <w:fldChar w:fldCharType="end"/>
                  </w:r>
                </w:p>
              </w:tc>
              <w:tc>
                <w:tcPr>
                  <w:tcW w:w="2928" w:type="dxa"/>
                </w:tcPr>
                <w:p w14:paraId="7DD8D650" w14:textId="6C142BFC" w:rsidR="00CA40EE" w:rsidRPr="00325A1F" w:rsidRDefault="0044034F" w:rsidP="00347A9B">
                  <w:pPr>
                    <w:framePr w:hSpace="187" w:wrap="around" w:vAnchor="page" w:hAnchor="margin" w:y="1758"/>
                    <w:tabs>
                      <w:tab w:val="left" w:pos="600"/>
                      <w:tab w:val="right" w:pos="2712"/>
                    </w:tabs>
                    <w:spacing w:line="276" w:lineRule="auto"/>
                    <w:suppressOverlap/>
                    <w:jc w:val="center"/>
                    <w:rPr>
                      <w:b/>
                      <w:szCs w:val="24"/>
                      <w:lang w:val="sq-AL"/>
                    </w:rPr>
                  </w:pPr>
                  <w:r w:rsidRPr="0044034F">
                    <w:rPr>
                      <w:color w:val="808080" w:themeColor="background1" w:themeShade="80"/>
                      <w:szCs w:val="24"/>
                    </w:rPr>
                    <w:fldChar w:fldCharType="begin">
                      <w:ffData>
                        <w:name w:val="VleraViti2"/>
                        <w:enabled/>
                        <w:calcOnExit/>
                        <w:textInput>
                          <w:type w:val="number"/>
                          <w:default w:val="0"/>
                          <w:maxLength w:val="20"/>
                        </w:textInput>
                      </w:ffData>
                    </w:fldChar>
                  </w:r>
                  <w:bookmarkStart w:id="6" w:name="VleraViti2"/>
                  <w:r w:rsidRPr="0044034F">
                    <w:rPr>
                      <w:color w:val="808080" w:themeColor="background1" w:themeShade="80"/>
                      <w:szCs w:val="24"/>
                    </w:rPr>
                    <w:instrText xml:space="preserve"> FORMTEXT </w:instrText>
                  </w:r>
                  <w:r w:rsidRPr="0044034F">
                    <w:rPr>
                      <w:color w:val="808080" w:themeColor="background1" w:themeShade="80"/>
                      <w:szCs w:val="24"/>
                    </w:rPr>
                  </w:r>
                  <w:r w:rsidRPr="0044034F">
                    <w:rPr>
                      <w:color w:val="808080" w:themeColor="background1" w:themeShade="80"/>
                      <w:szCs w:val="24"/>
                    </w:rPr>
                    <w:fldChar w:fldCharType="separate"/>
                  </w:r>
                  <w:r w:rsidRPr="0044034F">
                    <w:rPr>
                      <w:noProof/>
                      <w:color w:val="808080" w:themeColor="background1" w:themeShade="80"/>
                      <w:szCs w:val="24"/>
                    </w:rPr>
                    <w:t>0</w:t>
                  </w:r>
                  <w:r w:rsidRPr="0044034F">
                    <w:rPr>
                      <w:color w:val="808080" w:themeColor="background1" w:themeShade="80"/>
                      <w:szCs w:val="24"/>
                    </w:rPr>
                    <w:fldChar w:fldCharType="end"/>
                  </w:r>
                  <w:bookmarkEnd w:id="6"/>
                </w:p>
              </w:tc>
              <w:tc>
                <w:tcPr>
                  <w:tcW w:w="2929" w:type="dxa"/>
                </w:tcPr>
                <w:p w14:paraId="02A2A3D1" w14:textId="5956515E" w:rsidR="00CA40EE" w:rsidRPr="00325A1F" w:rsidRDefault="001E0D36" w:rsidP="00347A9B">
                  <w:pPr>
                    <w:framePr w:hSpace="187" w:wrap="around" w:vAnchor="page" w:hAnchor="margin" w:y="1758"/>
                    <w:tabs>
                      <w:tab w:val="center" w:pos="1356"/>
                      <w:tab w:val="right" w:pos="2713"/>
                    </w:tabs>
                    <w:spacing w:line="276" w:lineRule="auto"/>
                    <w:suppressOverlap/>
                    <w:rPr>
                      <w:b/>
                      <w:szCs w:val="24"/>
                      <w:lang w:val="sq-AL"/>
                    </w:rPr>
                  </w:pPr>
                  <w:r>
                    <w:rPr>
                      <w:szCs w:val="24"/>
                    </w:rPr>
                    <w:tab/>
                  </w:r>
                  <w:r w:rsidR="0044034F" w:rsidRPr="0044034F">
                    <w:rPr>
                      <w:color w:val="808080" w:themeColor="background1" w:themeShade="80"/>
                      <w:szCs w:val="24"/>
                    </w:rPr>
                    <w:fldChar w:fldCharType="begin">
                      <w:ffData>
                        <w:name w:val="VleraViti3"/>
                        <w:enabled/>
                        <w:calcOnExit/>
                        <w:textInput>
                          <w:type w:val="number"/>
                          <w:default w:val="0"/>
                          <w:maxLength w:val="20"/>
                          <w:format w:val="0"/>
                        </w:textInput>
                      </w:ffData>
                    </w:fldChar>
                  </w:r>
                  <w:bookmarkStart w:id="7" w:name="VleraViti3"/>
                  <w:r w:rsidR="0044034F" w:rsidRPr="0044034F">
                    <w:rPr>
                      <w:color w:val="808080" w:themeColor="background1" w:themeShade="80"/>
                      <w:szCs w:val="24"/>
                    </w:rPr>
                    <w:instrText xml:space="preserve"> FORMTEXT </w:instrText>
                  </w:r>
                  <w:r w:rsidR="0044034F" w:rsidRPr="0044034F">
                    <w:rPr>
                      <w:color w:val="808080" w:themeColor="background1" w:themeShade="80"/>
                      <w:szCs w:val="24"/>
                    </w:rPr>
                  </w:r>
                  <w:r w:rsidR="0044034F" w:rsidRPr="0044034F">
                    <w:rPr>
                      <w:color w:val="808080" w:themeColor="background1" w:themeShade="80"/>
                      <w:szCs w:val="24"/>
                    </w:rPr>
                    <w:fldChar w:fldCharType="separate"/>
                  </w:r>
                  <w:r w:rsidR="0044034F" w:rsidRPr="0044034F">
                    <w:rPr>
                      <w:noProof/>
                      <w:color w:val="808080" w:themeColor="background1" w:themeShade="80"/>
                      <w:szCs w:val="24"/>
                    </w:rPr>
                    <w:t>0</w:t>
                  </w:r>
                  <w:r w:rsidR="0044034F" w:rsidRPr="0044034F">
                    <w:rPr>
                      <w:color w:val="808080" w:themeColor="background1" w:themeShade="80"/>
                      <w:szCs w:val="24"/>
                    </w:rPr>
                    <w:fldChar w:fldCharType="end"/>
                  </w:r>
                  <w:bookmarkEnd w:id="7"/>
                  <w:r>
                    <w:rPr>
                      <w:szCs w:val="24"/>
                    </w:rPr>
                    <w:tab/>
                  </w:r>
                </w:p>
              </w:tc>
            </w:tr>
          </w:tbl>
          <w:p w14:paraId="4385113B" w14:textId="77777777" w:rsidR="00CA40EE" w:rsidRPr="00325A1F" w:rsidRDefault="00CA40EE" w:rsidP="007B6556">
            <w:pPr>
              <w:spacing w:line="276" w:lineRule="auto"/>
              <w:jc w:val="both"/>
              <w:rPr>
                <w:b/>
                <w:szCs w:val="24"/>
                <w:lang w:val="sq-AL"/>
              </w:rPr>
            </w:pPr>
          </w:p>
        </w:tc>
      </w:tr>
      <w:tr w:rsidR="00CA40EE" w:rsidRPr="004045D6" w14:paraId="03094400"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2C8F5F2A" w14:textId="77777777" w:rsidR="00CA40EE" w:rsidRPr="00325A1F" w:rsidRDefault="00CA40EE" w:rsidP="007B6556">
            <w:pPr>
              <w:spacing w:line="276" w:lineRule="auto"/>
              <w:jc w:val="both"/>
              <w:rPr>
                <w:b/>
                <w:szCs w:val="24"/>
                <w:lang w:val="sq-AL"/>
              </w:rPr>
            </w:pPr>
            <w:r w:rsidRPr="00325A1F">
              <w:rPr>
                <w:b/>
                <w:szCs w:val="24"/>
                <w:lang w:val="sq-AL"/>
              </w:rPr>
              <w:lastRenderedPageBreak/>
              <w:t>KONSULTIMI</w:t>
            </w:r>
          </w:p>
          <w:p w14:paraId="65D336EE" w14:textId="7401EAD5" w:rsidR="00071110" w:rsidRDefault="001E0D36" w:rsidP="00027038">
            <w:pPr>
              <w:spacing w:line="276" w:lineRule="auto"/>
              <w:jc w:val="both"/>
              <w:rPr>
                <w:i/>
                <w:szCs w:val="24"/>
              </w:rPr>
            </w:pPr>
            <w:r>
              <w:rPr>
                <w:i/>
                <w:szCs w:val="24"/>
              </w:rPr>
              <w:fldChar w:fldCharType="begin">
                <w:ffData>
                  <w:name w:val=""/>
                  <w:enabled/>
                  <w:calcOnExit w:val="0"/>
                  <w:textInput>
                    <w:default w:val="Jepni një përmbledhje të çdo konsultimi të kryer (me kë dhe si jeni konsultuar? (jo më shumë se 5 rreshta)"/>
                    <w:maxLength w:val="462"/>
                  </w:textInput>
                </w:ffData>
              </w:fldChar>
            </w:r>
            <w:r w:rsidRPr="000D5974">
              <w:rPr>
                <w:i/>
                <w:szCs w:val="24"/>
                <w:lang w:val="sq-AL"/>
              </w:rPr>
              <w:instrText xml:space="preserve"> FORMTEXT </w:instrText>
            </w:r>
            <w:r>
              <w:rPr>
                <w:i/>
                <w:szCs w:val="24"/>
              </w:rPr>
            </w:r>
            <w:r>
              <w:rPr>
                <w:i/>
                <w:szCs w:val="24"/>
              </w:rPr>
              <w:fldChar w:fldCharType="separate"/>
            </w:r>
            <w:r w:rsidRPr="000D5974">
              <w:rPr>
                <w:i/>
                <w:noProof/>
                <w:szCs w:val="24"/>
                <w:lang w:val="sq-AL"/>
              </w:rPr>
              <w:t xml:space="preserve">Jepni një përmbledhje të çdo konsultimi të kryer (me kë dhe si jeni konsultuar? </w:t>
            </w:r>
            <w:r>
              <w:rPr>
                <w:i/>
                <w:noProof/>
                <w:szCs w:val="24"/>
              </w:rPr>
              <w:t>(jo më shumë se 5 rreshta)</w:t>
            </w:r>
            <w:r>
              <w:rPr>
                <w:i/>
                <w:szCs w:val="24"/>
              </w:rPr>
              <w:fldChar w:fldCharType="end"/>
            </w:r>
          </w:p>
          <w:p w14:paraId="5238ACC0" w14:textId="77777777" w:rsidR="007164E6" w:rsidRDefault="007164E6" w:rsidP="007164E6">
            <w:pPr>
              <w:spacing w:line="276" w:lineRule="auto"/>
              <w:jc w:val="both"/>
              <w:rPr>
                <w:szCs w:val="24"/>
                <w:lang w:val="sq-AL"/>
              </w:rPr>
            </w:pPr>
            <w:r w:rsidRPr="007164E6">
              <w:rPr>
                <w:szCs w:val="24"/>
                <w:lang w:val="sq-AL"/>
              </w:rPr>
              <w:t xml:space="preserve">Hartimi i këtij projektligji ka kaluar përmes një dialogu të vazhdueshëm me ekspertë të huaj dhe ndërkombëtarë për gjetjen e masave dhe formulimin e parashikimeve të duhura ligjore me qëllim përmbushjen e rekomandimeve të planit ICRG/FATF. Projektligji është hartuar nga Ministria e Drejtësisë në bashkëpunim të ngushtë me ekspertë vendas dhe ndërkombëtarë të Horizontal Facility for the Western Balkans and Turkey II, Action against Economic Crime in Albania dhe të EURALIUS. Procesi i hartimit të këtij projektligji ka kaluar përmes disa ndryshimeve me qëllim reflektimin e komenteve të aktorëve të përfshirë, si dhe përputhshmërinë e tij me Kushtetutën dhe parashikimet e tjera ligjore. </w:t>
            </w:r>
          </w:p>
          <w:p w14:paraId="76E30B54" w14:textId="064DD576" w:rsidR="007164E6" w:rsidRDefault="007164E6" w:rsidP="007164E6">
            <w:pPr>
              <w:spacing w:line="276" w:lineRule="auto"/>
              <w:jc w:val="both"/>
              <w:rPr>
                <w:szCs w:val="24"/>
                <w:lang w:val="sq-AL"/>
              </w:rPr>
            </w:pPr>
            <w:r w:rsidRPr="007164E6">
              <w:rPr>
                <w:szCs w:val="24"/>
                <w:lang w:val="sq-AL"/>
              </w:rPr>
              <w:t>Në përfundim të këtij procesi</w:t>
            </w:r>
            <w:r w:rsidR="00DD2D41">
              <w:rPr>
                <w:szCs w:val="24"/>
                <w:lang w:val="sq-AL"/>
              </w:rPr>
              <w:t>,</w:t>
            </w:r>
            <w:r w:rsidRPr="007164E6">
              <w:rPr>
                <w:szCs w:val="24"/>
                <w:lang w:val="sq-AL"/>
              </w:rPr>
              <w:t xml:space="preserve"> projektligji i është nënshtruar konsultimit publik përmes publikimit të tij në Regjistrin Elektronik për Njoftimet dhe Konsultimet Publike dhe dërgimit për mendim disa institucioneve.</w:t>
            </w:r>
            <w:r>
              <w:rPr>
                <w:szCs w:val="24"/>
                <w:lang w:val="sq-AL"/>
              </w:rPr>
              <w:t xml:space="preserve"> </w:t>
            </w:r>
            <w:r w:rsidRPr="007164E6">
              <w:rPr>
                <w:szCs w:val="24"/>
                <w:lang w:val="sq-AL"/>
              </w:rPr>
              <w:t>Në zbatim të ligjit nr.146/2014 “Për Njoftimin dhe Konsultimin Publik”, ky projektligj është publikuar në portalin e Regjistrit Elektronik për Njoftimet dhe Konsultimet Publike. Procesi i konsultimit përmes regjistrit elektronik në RENJK zgjati nga data 02.04.2021 – 30.04.2021, periudhë gjatë së cilës nuk u dërguan komente.</w:t>
            </w:r>
          </w:p>
          <w:p w14:paraId="64B5D158" w14:textId="0DAA4732" w:rsidR="00B12FE5" w:rsidRPr="00B12FE5" w:rsidRDefault="00B12FE5" w:rsidP="00B12FE5">
            <w:pPr>
              <w:spacing w:line="276" w:lineRule="auto"/>
              <w:jc w:val="both"/>
              <w:rPr>
                <w:szCs w:val="24"/>
                <w:lang w:val="sq-AL"/>
              </w:rPr>
            </w:pPr>
            <w:r w:rsidRPr="00B12FE5">
              <w:rPr>
                <w:szCs w:val="24"/>
                <w:lang w:val="sq-AL"/>
              </w:rPr>
              <w:t>Projektligji i është dërguar për mendim përmes sistemit e-akte Ministrisë së Fianancave dhe Ekonomisë dhe me shkresë Drejtorisë së Përgjithshme të Parandalimit të Pastrimit të Parave dhe Dhomës Kombëtare të Noterëve. MFE dhe DPPP-ja kanë dërguar komente të cilat nuk janë reflektuar në projektligj pasi propozimet e dërguara përfshihen brenda parashikimeve të projektligjit.</w:t>
            </w:r>
          </w:p>
          <w:p w14:paraId="34929DB4" w14:textId="0666D9DF" w:rsidR="002760AC" w:rsidRPr="002760AC" w:rsidRDefault="00B12FE5" w:rsidP="002760AC">
            <w:pPr>
              <w:jc w:val="both"/>
              <w:rPr>
                <w:szCs w:val="24"/>
                <w:lang w:val="sq-AL"/>
              </w:rPr>
            </w:pPr>
            <w:r w:rsidRPr="00B12FE5">
              <w:rPr>
                <w:szCs w:val="24"/>
                <w:lang w:val="sq-AL"/>
              </w:rPr>
              <w:t>Gjithashtu, më datë 14.05.2021 është zhvilluar edhe një tryezë konsultimi me pjesëmarrës dhe përfaqësues nga Dhoma Kombëtare e Noterisë, organet drejtuese të saj, Qendra e T</w:t>
            </w:r>
            <w:r w:rsidR="003A2B6D">
              <w:rPr>
                <w:szCs w:val="24"/>
                <w:lang w:val="sq-AL"/>
              </w:rPr>
              <w:t>rajnimit dhe Bordit Disiplinor,</w:t>
            </w:r>
            <w:r w:rsidRPr="00B12FE5">
              <w:rPr>
                <w:szCs w:val="24"/>
                <w:lang w:val="sq-AL"/>
              </w:rPr>
              <w:t xml:space="preserve"> shumica e komenteve të </w:t>
            </w:r>
            <w:r w:rsidR="003A2B6D">
              <w:rPr>
                <w:szCs w:val="24"/>
                <w:lang w:val="sq-AL"/>
              </w:rPr>
              <w:t>të cilëve</w:t>
            </w:r>
            <w:r w:rsidRPr="00B12FE5">
              <w:rPr>
                <w:szCs w:val="24"/>
                <w:lang w:val="sq-AL"/>
              </w:rPr>
              <w:t xml:space="preserve"> janë reflektuar në projektligj.</w:t>
            </w:r>
            <w:r w:rsidR="00A47759">
              <w:rPr>
                <w:szCs w:val="24"/>
                <w:lang w:val="sq-AL"/>
              </w:rPr>
              <w:t xml:space="preserve"> Përmes këtij takimi u ra dakord mbi nevojën e ndërmarrjes së kësaj nisme, si dhe u prezantuan komentet e aktorëve ndaj draftit fillestar që lidhen kryesisht me kompetencat e organeve të DHKN-së. Këto komente janë pranuar dhe më pas janë reflektuar në projektligj</w:t>
            </w:r>
            <w:r w:rsidR="002760AC">
              <w:rPr>
                <w:szCs w:val="24"/>
                <w:lang w:val="sq-AL"/>
              </w:rPr>
              <w:t xml:space="preserve">. </w:t>
            </w:r>
            <w:r w:rsidR="002760AC" w:rsidRPr="002760AC">
              <w:rPr>
                <w:szCs w:val="24"/>
                <w:lang w:val="sq-AL"/>
              </w:rPr>
              <w:t>Gjatë mbledhjes u dakordësua që të zhvillohej edhe një tryezë e dytë konsultimi, e cila u zhvillua më datë 17.05.2021 me ekspertëve vendas dhe ndërkombëtare të EURALIUS, si dhe përfaqësues të Dhomës Kombëtare të Noterisë mbi adresimin e mundshëm të sugjerimeve dhe komenteve që u shfaqën gjatë tryezës së konsultimit pranë Ministrisë së Drejtësisë.</w:t>
            </w:r>
          </w:p>
          <w:p w14:paraId="2345F7B8" w14:textId="2F463CAE" w:rsidR="00AF680B" w:rsidRPr="00AF680B" w:rsidRDefault="00AF680B" w:rsidP="00AF680B">
            <w:pPr>
              <w:jc w:val="both"/>
              <w:rPr>
                <w:b/>
                <w:color w:val="000000" w:themeColor="text1"/>
                <w:szCs w:val="24"/>
              </w:rPr>
            </w:pPr>
            <w:r>
              <w:rPr>
                <w:color w:val="000000" w:themeColor="text1"/>
                <w:szCs w:val="24"/>
              </w:rPr>
              <w:t>Në periudhën mars – m</w:t>
            </w:r>
            <w:r w:rsidRPr="006F3397">
              <w:rPr>
                <w:color w:val="000000" w:themeColor="text1"/>
                <w:szCs w:val="24"/>
              </w:rPr>
              <w:t xml:space="preserve">aj 2021 </w:t>
            </w:r>
            <w:r>
              <w:rPr>
                <w:color w:val="000000" w:themeColor="text1"/>
                <w:szCs w:val="24"/>
              </w:rPr>
              <w:t xml:space="preserve">janë </w:t>
            </w:r>
            <w:r w:rsidRPr="006F3397">
              <w:rPr>
                <w:color w:val="000000" w:themeColor="text1"/>
                <w:szCs w:val="24"/>
              </w:rPr>
              <w:t>zhvilluar</w:t>
            </w:r>
            <w:r>
              <w:rPr>
                <w:color w:val="000000" w:themeColor="text1"/>
                <w:szCs w:val="24"/>
              </w:rPr>
              <w:t xml:space="preserve"> edhe takime</w:t>
            </w:r>
            <w:r w:rsidRPr="006F3397">
              <w:rPr>
                <w:color w:val="000000" w:themeColor="text1"/>
                <w:szCs w:val="24"/>
              </w:rPr>
              <w:t xml:space="preserve"> online me ekspertë vendas dhe ndërkombëtarë të Horizontal Facility for the Western Balkans and Turkey II, Action against Economic Crime in Albania dhe të EURALIUS, si dhe përfaqësues të Dhomës Kombëtare të Noterisë.</w:t>
            </w:r>
            <w:r w:rsidR="00A47759">
              <w:rPr>
                <w:color w:val="000000" w:themeColor="text1"/>
                <w:szCs w:val="24"/>
              </w:rPr>
              <w:t xml:space="preserve"> Këto takime i kanë shërbyer përmirësimit të draftit të projektligjit duke sjellë përmirësime të vazhdueshme të koncepteve të parashikuar në të. Gjithashtu, përmes këtyre takimeve janë </w:t>
            </w:r>
            <w:r w:rsidR="00A47759">
              <w:rPr>
                <w:color w:val="000000" w:themeColor="text1"/>
                <w:szCs w:val="24"/>
              </w:rPr>
              <w:lastRenderedPageBreak/>
              <w:t xml:space="preserve">evidentuar nevojat për prezantimin e procedurave të reja të cilat i shërbejnë arritjes së qëllimit të nismës. </w:t>
            </w:r>
          </w:p>
          <w:p w14:paraId="5FA61F3D" w14:textId="7A62CE11" w:rsidR="001E0D36" w:rsidRPr="007164E6" w:rsidRDefault="007164E6" w:rsidP="003A2B6D">
            <w:pPr>
              <w:spacing w:line="276" w:lineRule="auto"/>
              <w:jc w:val="both"/>
              <w:rPr>
                <w:szCs w:val="24"/>
                <w:lang w:val="sq-AL"/>
              </w:rPr>
            </w:pPr>
            <w:r w:rsidRPr="007164E6">
              <w:rPr>
                <w:szCs w:val="24"/>
                <w:lang w:val="sq-AL"/>
              </w:rPr>
              <w:t xml:space="preserve">Projektligji i është dërguar edhe institucioneve të tjera </w:t>
            </w:r>
            <w:r w:rsidR="003A2B6D">
              <w:rPr>
                <w:szCs w:val="24"/>
                <w:lang w:val="sq-AL"/>
              </w:rPr>
              <w:t>si</w:t>
            </w:r>
            <w:r w:rsidRPr="007164E6">
              <w:rPr>
                <w:szCs w:val="24"/>
                <w:lang w:val="sq-AL"/>
              </w:rPr>
              <w:t xml:space="preserve"> Këshilli i Lartë Gjyqësor, Këshilli i Lartë i Prokurorisë, Prokuroria e Përgjithshme, Shërbimi Informativ i Shtetit dhe Byroja Kombëtare e Hetimit në kuadër të rolit të tyre mbi verifikimin e integritetit dhe besueshmërisë profesionale të subjekteve, si dhe Dhomës Kombëtare të Noterëve. Sa i përket këtyre institucioneve, </w:t>
            </w:r>
            <w:r w:rsidR="00CD1006" w:rsidRPr="007164E6">
              <w:rPr>
                <w:szCs w:val="24"/>
                <w:lang w:val="sq-AL"/>
              </w:rPr>
              <w:t xml:space="preserve"> Këshilli i Lartë Gjyqësor, Këshilli i Lartë i Prokurorisë, Prokuroria e Përgjithshme, Shërbimi Informativ i Shtetit dhe Byroja Kombëtare e Hetimit </w:t>
            </w:r>
            <w:r w:rsidRPr="007164E6">
              <w:rPr>
                <w:szCs w:val="24"/>
                <w:lang w:val="sq-AL"/>
              </w:rPr>
              <w:t>kanë shprehur dakordësinë e tyre në lidhje me projektligjin.</w:t>
            </w:r>
          </w:p>
        </w:tc>
      </w:tr>
      <w:tr w:rsidR="00CA40EE" w:rsidRPr="00325A1F" w14:paraId="351492B2"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15826980" w14:textId="77777777" w:rsidR="00CA40EE" w:rsidRPr="00325A1F" w:rsidRDefault="00CA40EE" w:rsidP="007B6556">
            <w:pPr>
              <w:spacing w:line="276" w:lineRule="auto"/>
              <w:jc w:val="both"/>
              <w:rPr>
                <w:b/>
                <w:szCs w:val="24"/>
                <w:lang w:val="sq-AL"/>
              </w:rPr>
            </w:pPr>
            <w:r w:rsidRPr="00325A1F">
              <w:rPr>
                <w:b/>
                <w:szCs w:val="24"/>
                <w:lang w:val="sq-AL"/>
              </w:rPr>
              <w:lastRenderedPageBreak/>
              <w:t>ZBATIMI DHE MONITORIMI</w:t>
            </w:r>
          </w:p>
          <w:p w14:paraId="3C03BEB8" w14:textId="06F36A07" w:rsidR="008576E4" w:rsidRDefault="00CC4D9E" w:rsidP="00027038">
            <w:pPr>
              <w:spacing w:line="276" w:lineRule="auto"/>
              <w:jc w:val="both"/>
              <w:rPr>
                <w:i/>
                <w:szCs w:val="24"/>
              </w:rPr>
            </w:pPr>
            <w:r>
              <w:rPr>
                <w:i/>
                <w:szCs w:val="24"/>
              </w:rPr>
              <w:fldChar w:fldCharType="begin">
                <w:ffData>
                  <w:name w:val="ZbatimiMonitorimi"/>
                  <w:enabled w:val="0"/>
                  <w:calcOnExit w:val="0"/>
                  <w:textInput>
                    <w:default w:val="Si do të organizohen zbatimi dhe monitorimi?(jo më shumë se 5 rreshta)"/>
                    <w:maxLength w:val="462"/>
                  </w:textInput>
                </w:ffData>
              </w:fldChar>
            </w:r>
            <w:bookmarkStart w:id="8" w:name="ZbatimiMonitorimi"/>
            <w:r>
              <w:rPr>
                <w:i/>
                <w:szCs w:val="24"/>
              </w:rPr>
              <w:instrText xml:space="preserve"> FORMTEXT </w:instrText>
            </w:r>
            <w:r>
              <w:rPr>
                <w:i/>
                <w:szCs w:val="24"/>
              </w:rPr>
            </w:r>
            <w:r>
              <w:rPr>
                <w:i/>
                <w:szCs w:val="24"/>
              </w:rPr>
              <w:fldChar w:fldCharType="separate"/>
            </w:r>
            <w:r>
              <w:rPr>
                <w:i/>
                <w:noProof/>
                <w:szCs w:val="24"/>
              </w:rPr>
              <w:t>Si do të organizohen zbatimi dhe monitorimi?(jo më shumë se 5 rreshta)</w:t>
            </w:r>
            <w:r>
              <w:rPr>
                <w:i/>
                <w:szCs w:val="24"/>
              </w:rPr>
              <w:fldChar w:fldCharType="end"/>
            </w:r>
            <w:bookmarkEnd w:id="8"/>
          </w:p>
          <w:p w14:paraId="009D7EC2" w14:textId="57047190" w:rsidR="00CC4D9E" w:rsidRPr="00325A1F" w:rsidRDefault="008721F7" w:rsidP="00B12FE5">
            <w:pPr>
              <w:spacing w:line="276" w:lineRule="auto"/>
              <w:jc w:val="both"/>
              <w:rPr>
                <w:i/>
                <w:szCs w:val="24"/>
                <w:lang w:val="sq-AL"/>
              </w:rPr>
            </w:pPr>
            <w:r>
              <w:rPr>
                <w:szCs w:val="24"/>
              </w:rPr>
              <w:t>Zbatimi do të kryhet nga të interesuarit për noter, kandidatët për noter, zëvendësnoterët, noterët, strukturat përgjegjëse pranë Ministrisë</w:t>
            </w:r>
            <w:r w:rsidRPr="00FE4BAA">
              <w:rPr>
                <w:szCs w:val="24"/>
              </w:rPr>
              <w:t xml:space="preserve"> e Drejtësisë, Dhoma Kombëtare e Noterëve</w:t>
            </w:r>
            <w:r>
              <w:rPr>
                <w:szCs w:val="24"/>
              </w:rPr>
              <w:t>, Bordi Disiplinor i Noterisë,</w:t>
            </w:r>
            <w:r w:rsidRPr="00FE4BAA">
              <w:rPr>
                <w:szCs w:val="24"/>
              </w:rPr>
              <w:t xml:space="preserve"> Qendra Shqiptare e Trajnimit të Noterëve</w:t>
            </w:r>
            <w:r>
              <w:rPr>
                <w:szCs w:val="24"/>
              </w:rPr>
              <w:t>,</w:t>
            </w:r>
            <w:r w:rsidRPr="00FE4BAA">
              <w:rPr>
                <w:szCs w:val="24"/>
              </w:rPr>
              <w:t xml:space="preserve"> </w:t>
            </w:r>
            <w:r>
              <w:rPr>
                <w:szCs w:val="24"/>
              </w:rPr>
              <w:t>Drejtoria e Përgjithshme e Parandalimit të Pastrimit të Parave, si dhe çdo</w:t>
            </w:r>
            <w:r w:rsidR="00103996">
              <w:rPr>
                <w:szCs w:val="24"/>
              </w:rPr>
              <w:t xml:space="preserve"> institucion ose</w:t>
            </w:r>
            <w:r>
              <w:rPr>
                <w:szCs w:val="24"/>
              </w:rPr>
              <w:t xml:space="preserve"> subjekt tjetër të cilit </w:t>
            </w:r>
            <w:r w:rsidR="00541FA1">
              <w:rPr>
                <w:szCs w:val="24"/>
              </w:rPr>
              <w:t>do t’i</w:t>
            </w:r>
            <w:r>
              <w:rPr>
                <w:szCs w:val="24"/>
              </w:rPr>
              <w:t xml:space="preserve"> ngarkohen të drejta dhe detyrime. Monitorimi i zbatimit të këtyre ndryshime do të kryhet nga institucionet e lartpërmendura</w:t>
            </w:r>
            <w:r w:rsidR="00541FA1">
              <w:rPr>
                <w:szCs w:val="24"/>
              </w:rPr>
              <w:t xml:space="preserve"> dhe ndërkombëtare</w:t>
            </w:r>
            <w:r>
              <w:rPr>
                <w:szCs w:val="24"/>
              </w:rPr>
              <w:t>.</w:t>
            </w:r>
            <w:r w:rsidR="00541FA1" w:rsidRPr="00325A1F">
              <w:rPr>
                <w:i/>
                <w:szCs w:val="24"/>
                <w:lang w:val="sq-AL"/>
              </w:rPr>
              <w:t xml:space="preserve"> </w:t>
            </w:r>
          </w:p>
        </w:tc>
      </w:tr>
    </w:tbl>
    <w:p w14:paraId="0C6DF655" w14:textId="77777777" w:rsidR="00C133FC" w:rsidRDefault="00C133FC" w:rsidP="009D13F4">
      <w:pPr>
        <w:pStyle w:val="Heading1"/>
        <w:spacing w:line="276" w:lineRule="auto"/>
        <w:rPr>
          <w:rFonts w:ascii="Times New Roman" w:hAnsi="Times New Roman" w:cs="Times New Roman"/>
          <w:sz w:val="24"/>
          <w:szCs w:val="24"/>
          <w:lang w:val="sq-AL"/>
        </w:rPr>
      </w:pPr>
      <w:bookmarkStart w:id="9" w:name="_Toc50691973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C133FC" w:rsidRPr="009C75E3" w14:paraId="1AEFD50A" w14:textId="77777777" w:rsidTr="00C133FC">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C80836" w14:textId="77777777" w:rsidR="00C133FC" w:rsidRPr="009C75E3" w:rsidRDefault="00C133FC" w:rsidP="00C133FC">
            <w:pPr>
              <w:jc w:val="both"/>
              <w:rPr>
                <w:b/>
                <w:lang w:val="sq-AL"/>
              </w:rPr>
            </w:pPr>
            <w:r w:rsidRPr="009C75E3">
              <w:rPr>
                <w:b/>
                <w:lang w:val="sq-AL"/>
              </w:rPr>
              <w:t xml:space="preserve">PJESA 2: BAZA KRYESORE E ANALIZËS DHE E PROVAVE </w:t>
            </w:r>
          </w:p>
        </w:tc>
      </w:tr>
    </w:tbl>
    <w:p w14:paraId="51D5A819" w14:textId="77777777" w:rsidR="00C133FC" w:rsidRPr="00C133FC" w:rsidRDefault="00C133FC" w:rsidP="00B17990">
      <w:pPr>
        <w:rPr>
          <w:lang w:val="sq-AL"/>
        </w:rPr>
      </w:pPr>
    </w:p>
    <w:p w14:paraId="373E349F" w14:textId="77777777" w:rsidR="002125B7"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Historik</w:t>
      </w:r>
      <w:bookmarkEnd w:id="9"/>
    </w:p>
    <w:sdt>
      <w:sdtPr>
        <w:rPr>
          <w:i/>
          <w:szCs w:val="24"/>
          <w:lang w:val="sq-AL"/>
        </w:rPr>
        <w:id w:val="-1879696236"/>
        <w:lock w:val="contentLocked"/>
        <w:placeholder>
          <w:docPart w:val="DefaultPlaceholder_-1854013440"/>
        </w:placeholder>
      </w:sdtPr>
      <w:sdtEndPr/>
      <w:sdtContent>
        <w:p w14:paraId="65B5F973" w14:textId="3ECEF7A3" w:rsidR="002125B7" w:rsidRPr="00BC6D7D" w:rsidRDefault="007F435A" w:rsidP="009D13F4">
          <w:pPr>
            <w:spacing w:line="276" w:lineRule="auto"/>
            <w:rPr>
              <w:i/>
              <w:szCs w:val="24"/>
              <w:lang w:val="sq-AL"/>
            </w:rPr>
          </w:pPr>
          <w:r w:rsidRPr="00BC6D7D">
            <w:rPr>
              <w:i/>
              <w:szCs w:val="24"/>
              <w:lang w:val="sq-AL"/>
            </w:rPr>
            <w:t>Jepni kontekstin e politikës</w:t>
          </w:r>
          <w:r w:rsidR="00FA63FD">
            <w:rPr>
              <w:i/>
              <w:szCs w:val="24"/>
              <w:lang w:val="sq-AL"/>
            </w:rPr>
            <w:t>.</w:t>
          </w:r>
        </w:p>
      </w:sdtContent>
    </w:sdt>
    <w:sdt>
      <w:sdtPr>
        <w:rPr>
          <w:lang w:val="sq-AL"/>
        </w:rPr>
        <w:id w:val="1083723407"/>
        <w:placeholder>
          <w:docPart w:val="DefaultPlaceholder_1081868574"/>
        </w:placeholder>
      </w:sdtPr>
      <w:sdtEndPr/>
      <w:sdtContent>
        <w:p w14:paraId="37737844" w14:textId="49F8EAA6" w:rsidR="00563378" w:rsidRDefault="008721F7" w:rsidP="00CF2ADA">
          <w:pPr>
            <w:spacing w:before="240"/>
            <w:jc w:val="both"/>
            <w:rPr>
              <w:lang w:val="sq-AL"/>
            </w:rPr>
          </w:pPr>
          <w:r>
            <w:t xml:space="preserve">Në Programin Qeverisës 2017-2021 në pikën 3.1 “Shteti Ligjor dhe Drejtësia e Re” është përcaktuar reforma e shërbimeve publike të ofruara nga profesionet e lira ku përfshihet edhe profesioni i noterit me synimin </w:t>
          </w:r>
          <w:r w:rsidRPr="005C2E61">
            <w:t xml:space="preserve">për të ofruar shërbime ligjore, sa më cilësore dhe profesionale për qytetarët. </w:t>
          </w:r>
          <w:r>
            <w:t xml:space="preserve">Gjithashtu, është parashikuar forcimi i kushteve dhe kritereve profesionale për subjektet që ofrojnë këtë shërbim publik, si dhe forcimi i mekanizmave kontrollues me qëllim shmangien e abuzimeve dhe veprimeve joligjore. </w:t>
          </w:r>
          <w:r>
            <w:br/>
          </w:r>
          <w:r>
            <w:br/>
          </w:r>
          <w:r w:rsidR="003A2B6D">
            <w:t>Kohët e fundit në vend</w:t>
          </w:r>
          <w:r w:rsidRPr="00C07AED">
            <w:t xml:space="preserve"> është vënë re problematika e pastrimit të parave dhe financimit të terrorizmit që vijnë si pasojë e zhvillimit të veprimtarive kriminale dhe vendi është futur në listën gri të rrezikut nga këto fenomene. </w:t>
          </w:r>
          <w:r>
            <w:t xml:space="preserve">Këto fenomene vijnë si shkak i nevojës që </w:t>
          </w:r>
          <w:r w:rsidR="007B63AB">
            <w:t xml:space="preserve">kanë </w:t>
          </w:r>
          <w:r>
            <w:t>organizata</w:t>
          </w:r>
          <w:r w:rsidR="007B63AB">
            <w:t>t</w:t>
          </w:r>
          <w:r>
            <w:t xml:space="preserve"> dhe elementë</w:t>
          </w:r>
          <w:r w:rsidR="007B63AB">
            <w:t>t</w:t>
          </w:r>
          <w:r>
            <w:t xml:space="preserve"> kriminalë për të pastruar produktet e veprave penale të kryera prej tyre, ku ndër to përfshihen edhe pastr</w:t>
          </w:r>
          <w:r w:rsidR="007B63AB">
            <w:t>i</w:t>
          </w:r>
          <w:r>
            <w:t xml:space="preserve">mi i parave dhe financimi i terrorizmit. </w:t>
          </w:r>
          <w:r w:rsidRPr="00C07AED">
            <w:t>Ky problem prek në mënyrë të pashmangshme disa sektorë të rëndësishëm të ekonomisë</w:t>
          </w:r>
          <w:r>
            <w:t>, deformon</w:t>
          </w:r>
          <w:r w:rsidRPr="00C07AED">
            <w:t xml:space="preserve"> tregu</w:t>
          </w:r>
          <w:r>
            <w:t>n e lirë</w:t>
          </w:r>
          <w:r w:rsidRPr="00C07AED">
            <w:t xml:space="preserve">, </w:t>
          </w:r>
          <w:r>
            <w:t xml:space="preserve">cënon </w:t>
          </w:r>
          <w:r w:rsidRPr="00C07AED">
            <w:t>konkurrencë</w:t>
          </w:r>
          <w:r>
            <w:t xml:space="preserve">n e ndershme, dëmton </w:t>
          </w:r>
          <w:r w:rsidRPr="00C07AED">
            <w:t xml:space="preserve">interesat e </w:t>
          </w:r>
          <w:r>
            <w:t xml:space="preserve">ligjshëm të </w:t>
          </w:r>
          <w:r w:rsidRPr="00C07AED">
            <w:t>qytetarëve dhe bisneseve</w:t>
          </w:r>
          <w:r>
            <w:t xml:space="preserve"> të cilët në mënyrë të drejtëpërdrejtë apo të tërthortë pësojnë dëme që vijnë nga praktikat e pastrimit të parave, si dhe sjell cënimin e</w:t>
          </w:r>
          <w:r w:rsidRPr="00C07AED">
            <w:t xml:space="preserve"> shteti</w:t>
          </w:r>
          <w:r>
            <w:t>t</w:t>
          </w:r>
          <w:r w:rsidRPr="00C07AED">
            <w:t xml:space="preserve"> </w:t>
          </w:r>
          <w:r>
            <w:t>të</w:t>
          </w:r>
          <w:r w:rsidRPr="00C07AED">
            <w:t xml:space="preserve"> së drejtës. </w:t>
          </w:r>
          <w:r>
            <w:t xml:space="preserve"> </w:t>
          </w:r>
          <w:r>
            <w:br/>
          </w:r>
          <w:r>
            <w:br/>
            <w:t>Në këtë kuadër, Qeveria e Republikës së Shqipërisë është e angazhuar për vazhdimin e luftës kundër pastrimit të parave dhe financimit të terrorizmit dhe për rritjen e efektivitetit të saj, duke bashkëpunuar ngushtë me organizma ndërkombëtarë si FATF dhe MONEYVAL, për të identifikuar rrisqet dhe masat përkatëse që duh</w:t>
          </w:r>
          <w:r w:rsidR="00625968">
            <w:t>en marrë për adresimin e tyre.</w:t>
          </w:r>
          <w:r>
            <w:br/>
          </w:r>
          <w:r>
            <w:br/>
          </w:r>
          <w:r w:rsidRPr="00054DA4">
            <w:t>Për më tepër Shqipëria prej Shkurt</w:t>
          </w:r>
          <w:r w:rsidR="003A2B6D">
            <w:t>it të vitit</w:t>
          </w:r>
          <w:r w:rsidRPr="00054DA4">
            <w:t xml:space="preserve"> 2020 është përfshirë në listën e vendeve “nën monitorim të shtuar”/ “lista gri” nga Grupi i Posaçëm i Veprimit Financiar (FATF), organ ndërqeveritar që përcakton në nivel</w:t>
          </w:r>
          <w:r>
            <w:t xml:space="preserve"> ndërkombëtar standardet dhe që </w:t>
          </w:r>
          <w:r w:rsidRPr="00054DA4">
            <w:t>nxi</w:t>
          </w:r>
          <w:r>
            <w:t>t</w:t>
          </w:r>
          <w:r w:rsidRPr="00054DA4">
            <w:t xml:space="preserve"> zbatimin efektiv të masave ligjore, rregullative dhe operacionale për luftën kundër pastrimit të parave, financimit të terrorizmit,</w:t>
          </w:r>
          <w:r>
            <w:t xml:space="preserve"> etj</w:t>
          </w:r>
          <w:r w:rsidRPr="00054DA4">
            <w:t xml:space="preserve">. </w:t>
          </w:r>
          <w:r>
            <w:t xml:space="preserve">Duke filluar nga muaji shkurt i vitit 2020, Shqipëria ka ndërmarrë një angazhim politik për të punuar me Grupin e Posaçëm të Veprimit Financiar (Financial Action Task Force, ndryshe “FATF”) dhe Moneyval, me qëllim forcimin e luftës kundër pastrimit të parave dhe financimit të terrorizmit. Përmes vendimit nr. 1, datë 19.2.2020, “Për krijimin e grupit ndërinstitucional të punës </w:t>
          </w:r>
          <w:r>
            <w:lastRenderedPageBreak/>
            <w:t xml:space="preserve">për të përmbushur rekomandimet e ICRG- FATF” të Komitetit të Bashkërendimit të Luftës Kundër Pastrimit të Parave, u ngrit grupi ndërinstitucional i punës, i kryesuar nga zëvendëskryeministri me pjesëmarrjen e institucioneve dhe ministrive kryesore, të tilla si: MFE, MEPJ, MM, MPB, MD, Prokuroria e Përgjithshme, Prokuroria Speciale, SPAK, BSH, AMF, DPSH dhe SHISH. </w:t>
          </w:r>
          <w:r w:rsidR="007B63AB" w:rsidRPr="007B63AB">
            <w:t>Në këtë kuadër, marrja masave konkrete do të mundësojë nxjerrjen e Shqipërisë në një kohë sa më të shpejtë nga listën e vendeve “nën monitorim të shtuar”.</w:t>
          </w:r>
          <w:r w:rsidRPr="007B63AB">
            <w:br/>
          </w:r>
          <w:r>
            <w:br/>
            <w:t>Zhvillimi i ekonomisë, rritja e volumit të qarkullimit civil, zhvillimi i industrisë së ndërtimit, rritja e volumit të shkëmbimit të shumave monetare nga njëra</w:t>
          </w:r>
          <w:r w:rsidR="00625968">
            <w:t xml:space="preserve"> anë</w:t>
          </w:r>
          <w:r>
            <w:t xml:space="preserve"> dhe veprimtaritë kriminale e nevoja për të pastruar produkte</w:t>
          </w:r>
          <w:r w:rsidR="00625968">
            <w:t>t</w:t>
          </w:r>
          <w:r>
            <w:t xml:space="preserve"> </w:t>
          </w:r>
          <w:r w:rsidR="00625968">
            <w:t>e</w:t>
          </w:r>
          <w:r>
            <w:t xml:space="preserve"> veprave penale takohen shpeshherë në pika të ndryshme. Një ndër këto pika është edhe nevoja për të formalizuar dhe noterizuar disa veprime të caktuara juridike me qëllime ekonomike si shitje, shkëmbime, dhënie me qira etj, përmes akteve apo kontratave të ndryshme noteriale. </w:t>
          </w:r>
          <w:r>
            <w:br/>
          </w:r>
          <w:r>
            <w:br/>
            <w:t xml:space="preserve">Qeveria ka ndërmarrë një sërë reformash që lidhen me forcimin e shtetit të së drejtës, zhvillimin ekonomik dhe sistemin e drejtësisë pjesë të cilave janë edhe profesionet e lira, ndër to profesioni i noterit. Me këtë qëllim është hartuar ligji i ri nr. 100/2018 “Për noterinë” i cili ka sjell një avancim të dukshëm të politikës së zhvillimit të këtij profesioni duke përcaktuar kritere më të forta për hyrjen dhe ushtrimin e profesionit dhe kontroll më të efektshëm të veprimtarisë noteriale në përputhje me legjislacionin kombëtar. Ndërkohë </w:t>
          </w:r>
          <w:r w:rsidR="007B63AB">
            <w:t>ndryshimi i ligjit</w:t>
          </w:r>
          <w:r>
            <w:t xml:space="preserve"> ka si qëllim të avancojë akoma më tej pikat e sipërpërmendura duke përcaktuar rregulla m</w:t>
          </w:r>
          <w:r w:rsidR="00625968">
            <w:t>ë</w:t>
          </w:r>
          <w:r>
            <w:t xml:space="preserve"> të efektshme për parandalimin e depërtimit të elementëve kriminalë në profesion</w:t>
          </w:r>
          <w:r w:rsidR="007B63AB">
            <w:t>,</w:t>
          </w:r>
          <w:r>
            <w:t xml:space="preserve"> marrjen e masave të shpejta për të përjashtuar nga profesioni ata zëvendësnoterë dhe noterë që përfshihen në veprimtari të jashtëligjshm</w:t>
          </w:r>
          <w:r w:rsidR="007B63AB">
            <w:t xml:space="preserve">e, </w:t>
          </w:r>
          <w:r w:rsidR="007B63AB" w:rsidRPr="007B63AB">
            <w:t>si dhe garantimin e integritetit të profesionit të noterit.</w:t>
          </w:r>
          <w:r w:rsidR="007B63AB" w:rsidDel="007B63AB">
            <w:t xml:space="preserve"> </w:t>
          </w:r>
        </w:p>
      </w:sdtContent>
    </w:sdt>
    <w:p w14:paraId="3A394B8F" w14:textId="48550E26" w:rsidR="009E64A4" w:rsidRPr="009D13F4"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Problemi në shqyrtim</w:t>
      </w:r>
    </w:p>
    <w:bookmarkStart w:id="10" w:name="_Toc506919734" w:displacedByCustomXml="next"/>
    <w:sdt>
      <w:sdtPr>
        <w:id w:val="5332828"/>
        <w:lock w:val="contentLocked"/>
        <w:placeholder>
          <w:docPart w:val="873E64307E5F40099245506EC819755B"/>
        </w:placeholder>
      </w:sdtPr>
      <w:sdtEndPr/>
      <w:sdtContent>
        <w:p w14:paraId="101CBF4C" w14:textId="54202AE6" w:rsidR="00372979" w:rsidRPr="00372979" w:rsidRDefault="00372979" w:rsidP="00372979">
          <w:pPr>
            <w:pStyle w:val="ListParagraph"/>
            <w:numPr>
              <w:ilvl w:val="0"/>
              <w:numId w:val="27"/>
            </w:numPr>
            <w:spacing w:after="0" w:line="276" w:lineRule="auto"/>
            <w:jc w:val="both"/>
            <w:rPr>
              <w:rFonts w:ascii="Times New Roman" w:hAnsi="Times New Roman"/>
              <w:i/>
              <w:sz w:val="24"/>
              <w:szCs w:val="24"/>
            </w:rPr>
          </w:pPr>
          <w:r w:rsidRPr="00372979">
            <w:rPr>
              <w:rFonts w:ascii="Times New Roman" w:hAnsi="Times New Roman"/>
              <w:i/>
              <w:sz w:val="24"/>
              <w:szCs w:val="24"/>
            </w:rPr>
            <w:t>Përshkruani natyrën e problemit.</w:t>
          </w:r>
        </w:p>
        <w:p w14:paraId="39E386F9" w14:textId="77777777" w:rsidR="00372979" w:rsidRPr="00372979" w:rsidRDefault="00372979" w:rsidP="00372979">
          <w:pPr>
            <w:pStyle w:val="ListParagraph"/>
            <w:numPr>
              <w:ilvl w:val="0"/>
              <w:numId w:val="27"/>
            </w:numPr>
            <w:spacing w:after="0" w:line="276" w:lineRule="auto"/>
            <w:jc w:val="both"/>
            <w:rPr>
              <w:rFonts w:ascii="Times New Roman" w:hAnsi="Times New Roman"/>
              <w:i/>
              <w:sz w:val="24"/>
              <w:szCs w:val="24"/>
            </w:rPr>
          </w:pPr>
          <w:r w:rsidRPr="00372979">
            <w:rPr>
              <w:rFonts w:ascii="Times New Roman" w:hAnsi="Times New Roman"/>
              <w:i/>
              <w:sz w:val="24"/>
              <w:szCs w:val="24"/>
            </w:rPr>
            <w:t>Identifikoni shkaqet e problemit.</w:t>
          </w:r>
        </w:p>
        <w:p w14:paraId="68BDD96B" w14:textId="77777777" w:rsidR="00372979" w:rsidRPr="00372979" w:rsidRDefault="00372979" w:rsidP="00372979">
          <w:pPr>
            <w:pStyle w:val="ListParagraph"/>
            <w:numPr>
              <w:ilvl w:val="0"/>
              <w:numId w:val="27"/>
            </w:numPr>
            <w:spacing w:after="0" w:line="276" w:lineRule="auto"/>
            <w:jc w:val="both"/>
            <w:rPr>
              <w:rFonts w:ascii="Times New Roman" w:hAnsi="Times New Roman"/>
              <w:i/>
              <w:sz w:val="24"/>
              <w:szCs w:val="24"/>
            </w:rPr>
          </w:pPr>
          <w:r w:rsidRPr="00372979">
            <w:rPr>
              <w:rFonts w:ascii="Times New Roman" w:hAnsi="Times New Roman"/>
              <w:i/>
              <w:sz w:val="24"/>
              <w:szCs w:val="24"/>
            </w:rPr>
            <w:t>Përshkruani shtrirjen e problemit.</w:t>
          </w:r>
        </w:p>
        <w:p w14:paraId="564ACB57" w14:textId="77777777" w:rsidR="00372979" w:rsidRPr="00372979" w:rsidRDefault="00372979" w:rsidP="00372979">
          <w:pPr>
            <w:pStyle w:val="ListParagraph"/>
            <w:numPr>
              <w:ilvl w:val="0"/>
              <w:numId w:val="27"/>
            </w:numPr>
            <w:spacing w:after="0" w:line="276" w:lineRule="auto"/>
            <w:jc w:val="both"/>
            <w:rPr>
              <w:rFonts w:ascii="Times New Roman" w:hAnsi="Times New Roman"/>
              <w:i/>
              <w:sz w:val="24"/>
              <w:szCs w:val="24"/>
            </w:rPr>
          </w:pPr>
          <w:r w:rsidRPr="00372979">
            <w:rPr>
              <w:rFonts w:ascii="Times New Roman" w:hAnsi="Times New Roman"/>
              <w:i/>
              <w:sz w:val="24"/>
              <w:szCs w:val="24"/>
            </w:rPr>
            <w:t>Identifikoni grupet e prekura nga ky problem - qeveria / biznesi / shoqëria civile / qytetarët.</w:t>
          </w:r>
        </w:p>
        <w:p w14:paraId="0D251324" w14:textId="48AB228E" w:rsidR="009D13F4" w:rsidRPr="00372979" w:rsidRDefault="00372979" w:rsidP="00372979">
          <w:pPr>
            <w:pStyle w:val="ListParagraph"/>
            <w:numPr>
              <w:ilvl w:val="0"/>
              <w:numId w:val="27"/>
            </w:numPr>
            <w:spacing w:after="0" w:line="276" w:lineRule="auto"/>
            <w:jc w:val="both"/>
            <w:rPr>
              <w:rFonts w:ascii="Times New Roman" w:hAnsi="Times New Roman"/>
              <w:i/>
              <w:sz w:val="24"/>
              <w:szCs w:val="24"/>
            </w:rPr>
          </w:pPr>
          <w:r w:rsidRPr="00372979">
            <w:rPr>
              <w:rFonts w:ascii="Times New Roman" w:hAnsi="Times New Roman"/>
              <w:i/>
              <w:sz w:val="24"/>
              <w:szCs w:val="24"/>
            </w:rPr>
            <w:t>Vlerësoni nëse problemi mund të trajtohet ose jo përmes një ndryshimi të politikave.</w:t>
          </w:r>
        </w:p>
      </w:sdtContent>
    </w:sdt>
    <w:p w14:paraId="752CBE5E" w14:textId="4B3F1473" w:rsidR="00563378" w:rsidRDefault="005D117E" w:rsidP="00CF2ADA">
      <w:pPr>
        <w:spacing w:before="240"/>
        <w:jc w:val="both"/>
        <w:rPr>
          <w:szCs w:val="24"/>
          <w:lang w:val="sq-AL"/>
        </w:rPr>
      </w:pPr>
      <w:sdt>
        <w:sdtPr>
          <w:rPr>
            <w:rFonts w:eastAsiaTheme="majorEastAsia"/>
          </w:rPr>
          <w:id w:val="183797412"/>
          <w:placeholder>
            <w:docPart w:val="6DDBB321FA75409DA38DDE9CB0FD1E41"/>
          </w:placeholder>
        </w:sdtPr>
        <w:sdtEndPr/>
        <w:sdtContent>
          <w:r w:rsidR="008721F7" w:rsidRPr="00C12E81">
            <w:rPr>
              <w:szCs w:val="24"/>
            </w:rPr>
            <w:t>Problemi në shqyrtim lidhet me mungesën e parashikimeve të plota, të qarta dhe të efektshme ligjore mbi masat që duhet të zbatohen për parandalimin e depërtimit në profesionin e noterit të elementëve kriminalë, si dhe me nevojën për të adresuar shprehimisht dhe në mënyrë të shpejtë shfaqjen e rasteve apo dyshimeve se janë realizuar praktika të pastrimit të parave dhe financimit të terrorizmit apo te kryerjes se veprave të tjera penale që ndikojnë në integritetin e profesionit të noterit.</w:t>
          </w:r>
          <w:r w:rsidR="008721F7">
            <w:rPr>
              <w:szCs w:val="24"/>
            </w:rPr>
            <w:t xml:space="preserve">  </w:t>
          </w:r>
          <w:r w:rsidR="00A4007F">
            <w:rPr>
              <w:szCs w:val="24"/>
            </w:rPr>
            <w:br/>
          </w:r>
          <w:r w:rsidR="00A4007F">
            <w:rPr>
              <w:szCs w:val="24"/>
            </w:rPr>
            <w:br/>
          </w:r>
          <w:r w:rsidR="008721F7" w:rsidRPr="00C12E81">
            <w:rPr>
              <w:szCs w:val="24"/>
            </w:rPr>
            <w:t>Profesioni i noterit luan një rol të rëndësishëm në kalimin e të drejtave të pronësisë dhe në veprime të tjera juridike e transaksione</w:t>
          </w:r>
          <w:r w:rsidR="008721F7">
            <w:rPr>
              <w:szCs w:val="24"/>
            </w:rPr>
            <w:t xml:space="preserve"> </w:t>
          </w:r>
          <w:r w:rsidR="008721F7" w:rsidRPr="00C12E81">
            <w:rPr>
              <w:szCs w:val="24"/>
            </w:rPr>
            <w:t>të ndryshme, që përfshijnë kalime të shumave monetare nga një subjekt në një tjetër, me qëllim shkëmbim</w:t>
          </w:r>
          <w:r w:rsidR="008721F7">
            <w:rPr>
              <w:szCs w:val="24"/>
            </w:rPr>
            <w:t>in</w:t>
          </w:r>
          <w:r w:rsidR="008721F7" w:rsidRPr="00C12E81">
            <w:rPr>
              <w:szCs w:val="24"/>
            </w:rPr>
            <w:t xml:space="preserve"> e të mirave në qarkullimin civil. Përfshirja e drejtëpërdrejtë e noterëve në veprimtarinë e qarkullimit </w:t>
          </w:r>
          <w:r w:rsidR="008721F7">
            <w:rPr>
              <w:szCs w:val="24"/>
            </w:rPr>
            <w:t>civil</w:t>
          </w:r>
          <w:r w:rsidR="008721F7" w:rsidRPr="00C12E81">
            <w:rPr>
              <w:szCs w:val="24"/>
            </w:rPr>
            <w:t xml:space="preserve"> mbart edhe riskun për përfshirje në veprimtari kriminale </w:t>
          </w:r>
          <w:r w:rsidR="008721F7">
            <w:rPr>
              <w:szCs w:val="24"/>
            </w:rPr>
            <w:t>apo edhe</w:t>
          </w:r>
          <w:r w:rsidR="008721F7" w:rsidRPr="00C12E81">
            <w:rPr>
              <w:szCs w:val="24"/>
            </w:rPr>
            <w:t xml:space="preserve"> specifikisht në pastrimin e parave dhe financimin e terrorizmit. Kjo për shkak se ndër fushat që mbartin rrezikun më të madh</w:t>
          </w:r>
          <w:r w:rsidR="008721F7">
            <w:rPr>
              <w:szCs w:val="24"/>
            </w:rPr>
            <w:t xml:space="preserve"> të këtyre fenomeneve</w:t>
          </w:r>
          <w:r w:rsidR="008721F7" w:rsidRPr="00C12E81">
            <w:rPr>
              <w:szCs w:val="24"/>
            </w:rPr>
            <w:t xml:space="preserve"> </w:t>
          </w:r>
          <w:r w:rsidR="008721F7">
            <w:rPr>
              <w:szCs w:val="24"/>
            </w:rPr>
            <w:t>është</w:t>
          </w:r>
          <w:r w:rsidR="008721F7" w:rsidRPr="00C12E81">
            <w:rPr>
              <w:szCs w:val="24"/>
            </w:rPr>
            <w:t xml:space="preserve"> kalimi i të dre</w:t>
          </w:r>
          <w:r w:rsidR="008721F7">
            <w:rPr>
              <w:szCs w:val="24"/>
            </w:rPr>
            <w:t>jtave të pronësisë së objekteve,</w:t>
          </w:r>
          <w:r w:rsidR="008721F7" w:rsidRPr="00C12E81">
            <w:rPr>
              <w:szCs w:val="24"/>
            </w:rPr>
            <w:t xml:space="preserve"> si dhe kontratat për </w:t>
          </w:r>
          <w:r w:rsidR="008721F7">
            <w:rPr>
              <w:szCs w:val="24"/>
            </w:rPr>
            <w:t>shkëmbim të vlerave monetare.</w:t>
          </w:r>
          <w:r w:rsidR="008721F7" w:rsidRPr="00C12E81">
            <w:rPr>
              <w:szCs w:val="24"/>
            </w:rPr>
            <w:t xml:space="preserve"> </w:t>
          </w:r>
          <w:r w:rsidR="00625968">
            <w:rPr>
              <w:color w:val="000000" w:themeColor="text1"/>
            </w:rPr>
            <w:t xml:space="preserve">Gjatë viteve 2019-2020 në Drejtorinë e Përgjithshme të Parandalimit të Pastrimit të Parave nga ana e noterëve janë raportuar gjithsej 654 raste të dyshimeve për pastrimin e parave, çka tregon për rrezikun e lartë që mbart në vetvete ushtrimi i këtij profesioni në raport me veprimtarinë e jashtëligjshme të pastrimit të parave. </w:t>
          </w:r>
          <w:r w:rsidR="008721F7" w:rsidRPr="00C12E81">
            <w:rPr>
              <w:szCs w:val="24"/>
            </w:rPr>
            <w:t xml:space="preserve">Dispozitat aktuale, përmbajnë disa parashikime të përgjithshme të cilat mund t’i shërbejnë </w:t>
          </w:r>
          <w:r w:rsidR="008721F7">
            <w:rPr>
              <w:szCs w:val="24"/>
            </w:rPr>
            <w:t xml:space="preserve">luftës ndaj këtyre fenomeneve </w:t>
          </w:r>
          <w:r w:rsidR="008721F7" w:rsidRPr="00C12E81">
            <w:rPr>
              <w:szCs w:val="24"/>
            </w:rPr>
            <w:t>por</w:t>
          </w:r>
          <w:r w:rsidR="003A2B6D">
            <w:rPr>
              <w:szCs w:val="24"/>
            </w:rPr>
            <w:t>,</w:t>
          </w:r>
          <w:r w:rsidR="008721F7" w:rsidRPr="00C12E81">
            <w:rPr>
              <w:szCs w:val="24"/>
            </w:rPr>
            <w:t xml:space="preserve"> nuk adresojnë plotësisht </w:t>
          </w:r>
          <w:r w:rsidR="008721F7">
            <w:rPr>
              <w:szCs w:val="24"/>
            </w:rPr>
            <w:t xml:space="preserve">problematikat me masa efektive. </w:t>
          </w:r>
          <w:r w:rsidR="00A4007F">
            <w:rPr>
              <w:szCs w:val="24"/>
            </w:rPr>
            <w:br/>
          </w:r>
          <w:r w:rsidR="00A4007F">
            <w:rPr>
              <w:szCs w:val="24"/>
            </w:rPr>
            <w:br/>
          </w:r>
          <w:r w:rsidR="008721F7" w:rsidRPr="00C12E81">
            <w:rPr>
              <w:szCs w:val="24"/>
            </w:rPr>
            <w:lastRenderedPageBreak/>
            <w:t xml:space="preserve">Kjo problematikë vjen si rezultat i nevojës për të luftuar </w:t>
          </w:r>
          <w:r w:rsidR="008721F7">
            <w:rPr>
              <w:szCs w:val="24"/>
            </w:rPr>
            <w:t xml:space="preserve">krimin dhe </w:t>
          </w:r>
          <w:r w:rsidR="008721F7" w:rsidRPr="00C12E81">
            <w:rPr>
              <w:szCs w:val="24"/>
            </w:rPr>
            <w:t>fenomenet e pastrimit të parave dhe financimit të terrorizmit. Këto janë vepra penale me karakter ekonomik dhe paraqesin një rrezikshmëri të lartë shoqërore që vijnë si shkak i nevojës së krimit për të përdorur burimet financiare të akumuluara nga veprimtaritë kriminale dhe synojnë pastrimin e produkteve të tyre përmes veprimeve të ndryshme juridike e ekonomike për të fshehur burimin e jashtëligjshëm të tyre. Pastrimi i parave dhe financimi i terrorizmit janë dy fenomene kryefjalë</w:t>
          </w:r>
          <w:r w:rsidR="008721F7">
            <w:rPr>
              <w:szCs w:val="24"/>
            </w:rPr>
            <w:t xml:space="preserve"> e</w:t>
          </w:r>
          <w:r w:rsidR="008721F7" w:rsidRPr="00C12E81">
            <w:rPr>
              <w:szCs w:val="24"/>
            </w:rPr>
            <w:t xml:space="preserve"> aksioneve ndërkombëtare që c</w:t>
          </w:r>
          <w:r w:rsidR="008721F7">
            <w:rPr>
              <w:szCs w:val="24"/>
            </w:rPr>
            <w:t>e</w:t>
          </w:r>
          <w:r w:rsidR="008721F7" w:rsidRPr="00C12E81">
            <w:rPr>
              <w:szCs w:val="24"/>
            </w:rPr>
            <w:t xml:space="preserve">nojnë ekonominë, rendin, sigurinë publike, jetën dhe shëndetin e </w:t>
          </w:r>
          <w:r w:rsidR="008721F7">
            <w:rPr>
              <w:szCs w:val="24"/>
            </w:rPr>
            <w:t>qytetarëve</w:t>
          </w:r>
          <w:r w:rsidR="008721F7" w:rsidRPr="00C12E81">
            <w:rPr>
              <w:szCs w:val="24"/>
            </w:rPr>
            <w:t xml:space="preserve">.  </w:t>
          </w:r>
          <w:r w:rsidR="008721F7">
            <w:rPr>
              <w:szCs w:val="24"/>
            </w:rPr>
            <w:t xml:space="preserve"> </w:t>
          </w:r>
          <w:r w:rsidR="00A4007F">
            <w:rPr>
              <w:szCs w:val="24"/>
            </w:rPr>
            <w:br/>
          </w:r>
          <w:r w:rsidR="00A4007F">
            <w:rPr>
              <w:szCs w:val="24"/>
            </w:rPr>
            <w:br/>
          </w:r>
          <w:r w:rsidR="008721F7" w:rsidRPr="00C12E81">
            <w:rPr>
              <w:szCs w:val="24"/>
            </w:rPr>
            <w:t>Gjithashtu, shkak për këtë ndërhyrje janë edhe rekomandimet</w:t>
          </w:r>
          <w:r w:rsidR="008721F7">
            <w:rPr>
              <w:szCs w:val="24"/>
            </w:rPr>
            <w:t xml:space="preserve"> e</w:t>
          </w:r>
          <w:r w:rsidR="008721F7" w:rsidRPr="00C12E81">
            <w:rPr>
              <w:szCs w:val="24"/>
            </w:rPr>
            <w:t xml:space="preserve"> MONEYVAL në kuadër të</w:t>
          </w:r>
          <w:r w:rsidR="008721F7">
            <w:rPr>
              <w:szCs w:val="24"/>
            </w:rPr>
            <w:t xml:space="preserve"> planit ICRG/FTAF, sipas të cilë</w:t>
          </w:r>
          <w:r w:rsidR="008721F7" w:rsidRPr="00C12E81">
            <w:rPr>
              <w:szCs w:val="24"/>
            </w:rPr>
            <w:t>ve Shqipëria duhet të sigurojë që autoritetet kompetente në sektorin e “Bizneseve dhe Profesionet të caktuara jo-Financiare” (DNFBP) të zbatojnë një sërë sanksionesh proporcionale dhe frenuese për shkeljet e pastrimin e parave dhe financimin e terrorizmit (PP/FT), duke përfshirë heqjen e çdo pengese të mundshme për heqjen e licencave. Konkretisht, në rezultatin imediat IO3.3 “Kërkohen amendime në ligjin për noterinë – revokime licencash edh</w:t>
          </w:r>
          <w:r w:rsidR="008721F7">
            <w:rPr>
              <w:szCs w:val="24"/>
            </w:rPr>
            <w:t xml:space="preserve">e nga Ministria e Drejtësisë”.  </w:t>
          </w:r>
          <w:r w:rsidR="00A4007F">
            <w:rPr>
              <w:szCs w:val="24"/>
            </w:rPr>
            <w:br/>
          </w:r>
          <w:r w:rsidR="00A4007F">
            <w:rPr>
              <w:szCs w:val="24"/>
            </w:rPr>
            <w:br/>
          </w:r>
          <w:r w:rsidR="008721F7" w:rsidRPr="00C12E81">
            <w:rPr>
              <w:szCs w:val="24"/>
            </w:rPr>
            <w:t xml:space="preserve">Nevoja për adresimin e problemit të sipërcituar lidhet me faktin se praktikat e pastrimit të parave apo depërtimi </w:t>
          </w:r>
          <w:r w:rsidR="008721F7">
            <w:rPr>
              <w:szCs w:val="24"/>
            </w:rPr>
            <w:t xml:space="preserve">i </w:t>
          </w:r>
          <w:r w:rsidR="008721F7" w:rsidRPr="00C12E81">
            <w:rPr>
              <w:szCs w:val="24"/>
            </w:rPr>
            <w:t>elementëve kriminalë në profesionin e noterit shtrihet në mënyrë të pashmangshme në disa sektorë të rëndësishëm të ekonomisë, në tregun e lirë, në konkurrencën e ndershme, në interesat e ligjshëm të qytetarëve dhe bisneseve dhe në shtetin e së drejtës, duke patur kështu një sht</w:t>
          </w:r>
          <w:r w:rsidR="008721F7">
            <w:rPr>
              <w:szCs w:val="24"/>
            </w:rPr>
            <w:t xml:space="preserve">rirje të gjerë në disa aspekte të </w:t>
          </w:r>
          <w:r w:rsidR="008721F7" w:rsidRPr="00C12E81">
            <w:rPr>
              <w:szCs w:val="24"/>
            </w:rPr>
            <w:t>ekonomisë, sig</w:t>
          </w:r>
          <w:r w:rsidR="008721F7">
            <w:rPr>
              <w:szCs w:val="24"/>
            </w:rPr>
            <w:t>urisë publike dhe të shoqërisë. Në këtë drejtim n</w:t>
          </w:r>
          <w:r w:rsidR="008721F7" w:rsidRPr="00C12E81">
            <w:rPr>
              <w:szCs w:val="24"/>
            </w:rPr>
            <w:t>oterizimi i dokumenteve apo hartimi i akteve dhe kontratave noteriale me qëllim final pastrimin e parave apo në shërbim të interesave të krimit p</w:t>
          </w:r>
          <w:r w:rsidR="008721F7">
            <w:rPr>
              <w:szCs w:val="24"/>
            </w:rPr>
            <w:t>araqet</w:t>
          </w:r>
          <w:r w:rsidR="008721F7" w:rsidRPr="00C12E81">
            <w:rPr>
              <w:szCs w:val="24"/>
            </w:rPr>
            <w:t xml:space="preserve"> </w:t>
          </w:r>
          <w:r w:rsidR="00625968">
            <w:rPr>
              <w:szCs w:val="24"/>
            </w:rPr>
            <w:t xml:space="preserve">një veprtimtari me </w:t>
          </w:r>
          <w:r w:rsidR="008721F7" w:rsidRPr="00C12E81">
            <w:rPr>
              <w:szCs w:val="24"/>
            </w:rPr>
            <w:t>rrezikshm</w:t>
          </w:r>
          <w:r w:rsidR="008721F7">
            <w:rPr>
              <w:szCs w:val="24"/>
            </w:rPr>
            <w:t xml:space="preserve">ëri të lartë. </w:t>
          </w:r>
          <w:r w:rsidR="00A4007F">
            <w:rPr>
              <w:szCs w:val="24"/>
            </w:rPr>
            <w:br/>
          </w:r>
          <w:r w:rsidR="00A4007F">
            <w:rPr>
              <w:szCs w:val="24"/>
            </w:rPr>
            <w:br/>
          </w:r>
          <w:r w:rsidR="008721F7">
            <w:rPr>
              <w:szCs w:val="24"/>
            </w:rPr>
            <w:t>M</w:t>
          </w:r>
          <w:r w:rsidR="008721F7" w:rsidRPr="00C12E81">
            <w:rPr>
              <w:szCs w:val="24"/>
            </w:rPr>
            <w:t>ungesa e masave të efekteshme për të parandaluar depërtimin e elementëve kriminalë dhe për të adresuar praktikat e pastrimit të parave prek veprimtarinë e qeverisë në disa drejtime. Kjo për shkak se veprimtaria noteriale e zhvilluar duke moszbatuar legjislacionin përkatës apo veprimtaria që i shërben interesave të grupeve kriminale sjell si pasojë paraqitjen e dokumenteve dhe akteve të jashtëligjshme të cilët ndikojnë në  prokurime, subvencione, klimën e biznesit, konkurrencën e pandershme, ev</w:t>
          </w:r>
          <w:r w:rsidR="008721F7">
            <w:rPr>
              <w:szCs w:val="24"/>
            </w:rPr>
            <w:t>azionin fiskal etj.</w:t>
          </w:r>
          <w:r w:rsidR="00A4007F">
            <w:rPr>
              <w:szCs w:val="24"/>
            </w:rPr>
            <w:br/>
          </w:r>
          <w:r w:rsidR="00A4007F">
            <w:rPr>
              <w:szCs w:val="24"/>
            </w:rPr>
            <w:br/>
          </w:r>
          <w:r w:rsidR="008721F7" w:rsidRPr="00C12E81">
            <w:rPr>
              <w:szCs w:val="24"/>
            </w:rPr>
            <w:t>Gjithashtu, veprimtaria e mësipërme ka ndikim të drej</w:t>
          </w:r>
          <w:r w:rsidR="008721F7">
            <w:rPr>
              <w:szCs w:val="24"/>
            </w:rPr>
            <w:t>t</w:t>
          </w:r>
          <w:r w:rsidR="008721F7" w:rsidRPr="00C12E81">
            <w:rPr>
              <w:szCs w:val="24"/>
            </w:rPr>
            <w:t>përdrejtë tek biznesi dhe shoqëria pasi prania e noterëve të lidhur me krimin apo pastrimin e parave krijon një konkurrencë të pandershme, dëmton lirinë e veprimtarisë ekonomike, cënon tregun e lirë, dëmton interesat dhe të drejt</w:t>
          </w:r>
          <w:r w:rsidR="008721F7">
            <w:rPr>
              <w:szCs w:val="24"/>
            </w:rPr>
            <w:t xml:space="preserve">at e ligjshme të bizneseve etj. </w:t>
          </w:r>
          <w:r w:rsidR="00A4007F">
            <w:rPr>
              <w:szCs w:val="24"/>
            </w:rPr>
            <w:br/>
          </w:r>
          <w:r w:rsidR="00A4007F">
            <w:rPr>
              <w:szCs w:val="24"/>
            </w:rPr>
            <w:br/>
          </w:r>
          <w:r w:rsidR="008721F7" w:rsidRPr="00C12E81">
            <w:rPr>
              <w:szCs w:val="24"/>
            </w:rPr>
            <w:t xml:space="preserve">Ndërkohë mos adresimi në kohë i këtyre fenomeneve dhe prania e noterëve të tillë në treg ndikon drejtëpërdrejtë në cilësinë e shërbimit që marrin qytetarët dhe në cënimin e integritetit të lartë që duhet të ketë figura e noterit, të cilit i është dhënë e drejta e ushtrimit të një funksioni </w:t>
          </w:r>
          <w:r w:rsidR="008721F7">
            <w:rPr>
              <w:szCs w:val="24"/>
            </w:rPr>
            <w:t xml:space="preserve">publik mbi bazën e një licence. </w:t>
          </w:r>
          <w:r w:rsidR="00A4007F">
            <w:rPr>
              <w:szCs w:val="24"/>
            </w:rPr>
            <w:br/>
          </w:r>
          <w:r w:rsidR="00A4007F">
            <w:rPr>
              <w:szCs w:val="24"/>
            </w:rPr>
            <w:br/>
          </w:r>
          <w:r w:rsidR="008721F7" w:rsidRPr="00C12E81">
            <w:rPr>
              <w:szCs w:val="24"/>
            </w:rPr>
            <w:t>Sa më sipër, Qeveria e Republikës së Shqipërisë është e angazhuar për vazhdimin e luftës kundër pastrimit të parave dhe financimit të terrorizmit dhe për rritjen e efektivitetit të saj, duke bashkëpunuar ngushtë me organizma ndërkombëtarë si FATF dhe MONEYVAL, për të identifikuar rrisqet dhe masat përkatëse që duhen marrë për adresimin e tyre. Ky problem mund të trajtohet vetëm me një ndryshim të politikës, përmes ndryshimeve përkatëse në ligj</w:t>
          </w:r>
          <w:r w:rsidR="008E1C76">
            <w:rPr>
              <w:szCs w:val="24"/>
            </w:rPr>
            <w:t>,</w:t>
          </w:r>
          <w:r w:rsidR="008721F7" w:rsidRPr="00C12E81">
            <w:rPr>
              <w:szCs w:val="24"/>
            </w:rPr>
            <w:t xml:space="preserve"> pasi metodat e tjera nuk kanë të njëjtin efektivitet dhe nuk mund të garantojnë përmbushjen e detyrimeve dhe rekomandimeve nga organizmat ndërkombëtarë si FATF/MONEYVAL mbi pastrimin e parave dhe financimin e terrorizmit. Tregu nuk është në gj</w:t>
          </w:r>
          <w:r w:rsidR="008721F7">
            <w:rPr>
              <w:szCs w:val="24"/>
            </w:rPr>
            <w:t>e</w:t>
          </w:r>
          <w:r w:rsidR="008721F7" w:rsidRPr="00C12E81">
            <w:rPr>
              <w:szCs w:val="24"/>
            </w:rPr>
            <w:t>ndje që të vetërregullohet sa i përket këtyre aspekteve dhe si rrjedhojë nevojitet parashikimi me ligj i disa masave të posaçme që synojnë të parandalojnë depërtimin e elementëve kriminalë apo përfshirje në veprimtari kriminale, ndër to pastrimin e parave dhe financimin e terrorizmit</w:t>
          </w:r>
        </w:sdtContent>
      </w:sdt>
      <w:r w:rsidR="00563378">
        <w:rPr>
          <w:rFonts w:eastAsiaTheme="majorEastAsia"/>
        </w:rPr>
        <w:t>.</w:t>
      </w:r>
    </w:p>
    <w:p w14:paraId="3B35E27A" w14:textId="1D3E2C0D" w:rsidR="00563378" w:rsidRPr="00563378" w:rsidRDefault="002125B7" w:rsidP="00563378">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lastRenderedPageBreak/>
        <w:t xml:space="preserve">Arsyeja e ndërhyrjes </w:t>
      </w:r>
      <w:bookmarkEnd w:id="10"/>
    </w:p>
    <w:sdt>
      <w:sdtPr>
        <w:id w:val="-1161541828"/>
        <w:lock w:val="contentLocked"/>
        <w:placeholder>
          <w:docPart w:val="DefaultPlaceholder_1081868574"/>
        </w:placeholder>
        <w15:color w:val="C0C0C0"/>
      </w:sdtPr>
      <w:sdtEndPr>
        <w:rPr>
          <w:sz w:val="24"/>
          <w:szCs w:val="24"/>
        </w:rPr>
      </w:sdtEndPr>
      <w:sdtContent>
        <w:p w14:paraId="34CBFEE4" w14:textId="073C260A" w:rsidR="00372979" w:rsidRPr="00372979" w:rsidRDefault="00372979" w:rsidP="00372979">
          <w:pPr>
            <w:pStyle w:val="ListParagraph"/>
            <w:numPr>
              <w:ilvl w:val="0"/>
              <w:numId w:val="27"/>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pse qeveria e sheh të nevojshme të ndërhyjë.</w:t>
          </w:r>
        </w:p>
        <w:p w14:paraId="10FE35C4" w14:textId="77777777" w:rsidR="00372979" w:rsidRPr="00372979" w:rsidRDefault="00372979" w:rsidP="00372979">
          <w:pPr>
            <w:pStyle w:val="ListParagraph"/>
            <w:numPr>
              <w:ilvl w:val="0"/>
              <w:numId w:val="27"/>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se çfarë shpreson të trajtojë qeveria nëpërmjet kësaj ndërhyrjeje.</w:t>
          </w:r>
        </w:p>
        <w:p w14:paraId="036157E1" w14:textId="77777777" w:rsidR="00372979" w:rsidRPr="00372979" w:rsidRDefault="00372979" w:rsidP="00372979">
          <w:pPr>
            <w:pStyle w:val="ListParagraph"/>
            <w:numPr>
              <w:ilvl w:val="0"/>
              <w:numId w:val="27"/>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se si i mbështet kjo ndërhyrje objektivat e nivelit të lartë të qeverisë.</w:t>
          </w:r>
        </w:p>
        <w:p w14:paraId="796883EF" w14:textId="694F60A4" w:rsidR="009E64A4" w:rsidRPr="00372979" w:rsidRDefault="00372979" w:rsidP="00372979">
          <w:pPr>
            <w:pStyle w:val="ListParagraph"/>
            <w:numPr>
              <w:ilvl w:val="0"/>
              <w:numId w:val="27"/>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Rendisni punën ekzistuese që është realizuar tashmë.</w:t>
          </w:r>
        </w:p>
      </w:sdtContent>
    </w:sdt>
    <w:bookmarkStart w:id="11" w:name="_Toc506919735"/>
    <w:p w14:paraId="264D3D2E" w14:textId="2B33631B" w:rsidR="00AC29B4" w:rsidRPr="00AC29B4" w:rsidRDefault="005D117E" w:rsidP="00A4007F">
      <w:pPr>
        <w:spacing w:before="240"/>
        <w:jc w:val="both"/>
        <w:rPr>
          <w:color w:val="808080" w:themeColor="background1" w:themeShade="80"/>
        </w:rPr>
      </w:pPr>
      <w:sdt>
        <w:sdtPr>
          <w:rPr>
            <w:rFonts w:eastAsiaTheme="majorEastAsia"/>
            <w:color w:val="808080" w:themeColor="background1" w:themeShade="80"/>
          </w:rPr>
          <w:id w:val="-1918160353"/>
          <w:placeholder>
            <w:docPart w:val="CACB70A1168B411595FAC6FC6BEBF98B"/>
          </w:placeholder>
        </w:sdtPr>
        <w:sdtEndPr/>
        <w:sdtContent>
          <w:r w:rsidR="00A4007F">
            <w:t>Megjithëse noterët janë subjekt i ligjit nr. 9917, datë 19.05.2008 “Për parandalimin e pastrimit të parave dhe financimit të terrorizmit”, të ndryshuar, ndërhyrja e Qeverisë është e domosdoshme për</w:t>
          </w:r>
          <w:r w:rsidR="008E1C76">
            <w:t xml:space="preserve"> shkak të dështimit të tregut sepse</w:t>
          </w:r>
          <w:r w:rsidR="00A4007F">
            <w:t xml:space="preserve"> komuniteti i noterëve dhe shoqëria në përgjithësi nuk mund të japë rezultatet e nevojshme dhe të efektshme. Nevoja për të ndërhyrë me masa lidhet pikërisht me pamundësinë për të adresuar këtë problematikë përmes masave jorregulatore dhe përmbush</w:t>
          </w:r>
          <w:r w:rsidR="008E1C76">
            <w:t xml:space="preserve">jen e </w:t>
          </w:r>
          <w:r w:rsidR="00A4007F">
            <w:t>detyrime</w:t>
          </w:r>
          <w:r w:rsidR="008E1C76">
            <w:t>ve</w:t>
          </w:r>
          <w:r w:rsidR="00A4007F">
            <w:t xml:space="preserve"> që burojnë nga angazhimet ndërkombëtare për të trajtuar fenomenet e pastrimit të parave dhe të financimit të terrorizmit.  </w:t>
          </w:r>
          <w:r w:rsidR="00A4007F">
            <w:br/>
          </w:r>
          <w:r w:rsidR="00A4007F">
            <w:br/>
            <w:t>Aktualisht në ligjin nr. 110/2018 “Për noterinë”, është parashikuar si kusht për licencim që noteri të mos ketë qenë i dënuar për disa kategori të caktuara veprash penale dhe si shkak për pezullimin dhe heqjen e licencës janë vendosur dënimet për vepra penale dhe kryerj</w:t>
          </w:r>
          <w:r w:rsidR="00625968">
            <w:t>a e shkeljeve disiplinore. N</w:t>
          </w:r>
          <w:r w:rsidR="00A4007F">
            <w:t>ga ana tjetër këto parashikime nuk janë të plota pasi lidhen vetëm me gjendjen gjyqësore të noterit në momente të caktuara kohore, pa marrë parasysh rastet e tjera të cilat mund të ndikojnë në depërtimin e elementëve kriminalë në profesion, në integritetin e tyre apo të marrjes së masave të shpejta për trajtimin e praktikave të pastrimit t</w:t>
          </w:r>
          <w:r w:rsidR="00625968">
            <w:t>ë</w:t>
          </w:r>
          <w:r w:rsidR="00A4007F">
            <w:t xml:space="preserve"> parave apo të përfshirjes në vepra penale. Për këtë arsye nevojitet të ndërhyhet për të kontrolluar më mirë dhe për të parandaluar që në fillim depërtimin në këtë profesion edhe të personave të cilët, pavarësisht se në momentin e konkurrimit dhe licencimit nuk janë</w:t>
          </w:r>
          <w:r w:rsidR="008E1C76">
            <w:t xml:space="preserve"> të</w:t>
          </w:r>
          <w:r w:rsidR="00A4007F">
            <w:t xml:space="preserve"> dënuar, mund të jenë përfshirë në kryerjen e veprave penale </w:t>
          </w:r>
          <w:r w:rsidR="00451404">
            <w:t xml:space="preserve">ku ndër to përfshihen edhe veprat </w:t>
          </w:r>
          <w:r w:rsidR="00A4007F">
            <w:t>lidhen me pastrimin e parave dhe financimin e terrorizmit. Nga ana tjetër ndërhyrja nevojitet për të adresuar rastet kur pas licencimit të tyre dhe gjatë ushtrimit të veprimtarisë, zëvendësnoterët dhe noterët përfshihen në veprimtari kriminale përfshi këtu edhe pastrimin e parave dhe financimin e terrorizmi</w:t>
          </w:r>
          <w:r w:rsidR="00B13DF5">
            <w:t xml:space="preserve">t.  </w:t>
          </w:r>
          <w:r w:rsidR="00B13DF5">
            <w:br/>
          </w:r>
          <w:r w:rsidR="00B13DF5">
            <w:br/>
            <w:t>Nisma gjithashtu lidhet</w:t>
          </w:r>
          <w:r w:rsidR="00A4007F">
            <w:t xml:space="preserve"> me angazhimin e Shqipërisë në bashkëpunimin me institucionet ndërkombëtare me qëllim nxjerrjen e vendit në një kohë sa më të shkurtër nga lista gri.</w:t>
          </w:r>
          <w:r w:rsidR="00A4007F">
            <w:br/>
          </w:r>
          <w:r w:rsidR="00A4007F">
            <w:br/>
            <w:t>Përmes kësaj ndërhyrje Qeveria synon të trajtojë problematikat që vijnë si pasojë e përfshirjes s</w:t>
          </w:r>
          <w:r w:rsidR="00B13DF5">
            <w:t>ë</w:t>
          </w:r>
          <w:r w:rsidR="00A4007F">
            <w:t xml:space="preserve"> krimit në profesionin e noterit, përmbushjen e rekomandimeve ndërkombëtare, avancimin e luftës ndaj pastrimit të parave dhe financimit të terrorizmit, forcimin e  integritetit të noterit</w:t>
          </w:r>
          <w:r w:rsidR="00451404">
            <w:t xml:space="preserve">, të </w:t>
          </w:r>
          <w:r w:rsidR="00A4007F">
            <w:t>rris</w:t>
          </w:r>
          <w:r w:rsidR="00451404">
            <w:t>ë</w:t>
          </w:r>
          <w:r w:rsidR="00A4007F">
            <w:t xml:space="preserve"> </w:t>
          </w:r>
          <w:r w:rsidR="00451404">
            <w:t xml:space="preserve">besimin e publikut te ky profesion, si dhe </w:t>
          </w:r>
          <w:r w:rsidR="00A4007F">
            <w:t xml:space="preserve"> cilësi</w:t>
          </w:r>
          <w:r w:rsidR="00451404">
            <w:t>n</w:t>
          </w:r>
          <w:r w:rsidR="00A4007F">
            <w:t xml:space="preserve">ë </w:t>
          </w:r>
          <w:r w:rsidR="00451404">
            <w:t>e</w:t>
          </w:r>
          <w:r w:rsidR="00A4007F">
            <w:t xml:space="preserve"> shërbimit </w:t>
          </w:r>
          <w:r w:rsidR="00451404">
            <w:t>që I ofrohet qytetarëve</w:t>
          </w:r>
          <w:r w:rsidR="00A4007F">
            <w:t xml:space="preserve">. </w:t>
          </w:r>
          <w:r w:rsidR="00A4007F">
            <w:br/>
          </w:r>
          <w:r w:rsidR="00A4007F">
            <w:br/>
            <w:t xml:space="preserve">Kjo politikë mbështet objektivat e nivelit të lartë të qeverisë të përcaktuar në Programin Qeverisës 2017-2021, ku reformimi i profesioneve të lira përbën një nga pikat kryesore të drejtësisë së re, Planit Kombëtar për Integrimin Evropian, 2021– 2023, Strategjinë Kundër Krimit të Organizuar dhe Krimeve të Rënda, 2021–2025, dhe Planin e Veprimit 2021–2022 ku një nga objektivat madhor është lufta kundër financimit të terrorizmit, pastrimit të parave dhe krimit të organizuar, e shprehur kjo në dokumentet kryesore në fuqi. Kështu, ky projektligj </w:t>
          </w:r>
          <w:r w:rsidR="000F0E3F">
            <w:t>do të ketë si qëllim</w:t>
          </w:r>
          <w:r w:rsidR="00A4007F">
            <w:t xml:space="preserve"> nxjerrjen e Shqipërisë sa më të shpejtë nga lista gri.  </w:t>
          </w:r>
          <w:r w:rsidR="00A4007F">
            <w:br/>
          </w:r>
          <w:r w:rsidR="00A4007F">
            <w:br/>
          </w:r>
          <w:r w:rsidR="008E1C76">
            <w:t>Në përfundim është vijuar me përgatitjen e një drafti final dhe publikimin e tij në regjistrin elektonik për njoftimet dhe konsultimet publike, si dhe marrja e mendimeve të aktorëve të përfshirë</w:t>
          </w:r>
        </w:sdtContent>
      </w:sdt>
      <w:r w:rsidR="00AC29B4" w:rsidRPr="00AC29B4">
        <w:rPr>
          <w:color w:val="808080" w:themeColor="background1" w:themeShade="80"/>
          <w:lang w:val="sq-AL"/>
        </w:rPr>
        <w:t>.</w:t>
      </w:r>
      <w:r w:rsidR="00AC29B4" w:rsidRPr="00AC29B4">
        <w:t xml:space="preserve"> </w:t>
      </w:r>
    </w:p>
    <w:p w14:paraId="6B360632" w14:textId="7C30DDBB" w:rsidR="002125B7" w:rsidRPr="00325A1F" w:rsidRDefault="00FF616D"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Objektivi i pol</w:t>
      </w:r>
      <w:r w:rsidR="009E64A4" w:rsidRPr="00325A1F">
        <w:rPr>
          <w:rFonts w:ascii="Times New Roman" w:hAnsi="Times New Roman" w:cs="Times New Roman"/>
          <w:sz w:val="24"/>
          <w:szCs w:val="24"/>
          <w:lang w:val="sq-AL"/>
        </w:rPr>
        <w:t>i</w:t>
      </w:r>
      <w:r w:rsidR="002125B7" w:rsidRPr="00325A1F">
        <w:rPr>
          <w:rFonts w:ascii="Times New Roman" w:hAnsi="Times New Roman" w:cs="Times New Roman"/>
          <w:sz w:val="24"/>
          <w:szCs w:val="24"/>
          <w:lang w:val="sq-AL"/>
        </w:rPr>
        <w:t>tikës</w:t>
      </w:r>
      <w:bookmarkEnd w:id="11"/>
    </w:p>
    <w:sdt>
      <w:sdtPr>
        <w:rPr>
          <w:rFonts w:ascii="Times New Roman" w:hAnsi="Times New Roman"/>
          <w:sz w:val="24"/>
          <w:szCs w:val="24"/>
          <w:lang w:val="sq-AL"/>
        </w:rPr>
        <w:id w:val="-531503755"/>
        <w:lock w:val="contentLocked"/>
        <w:placeholder>
          <w:docPart w:val="DefaultPlaceholder_1081868574"/>
        </w:placeholder>
      </w:sdtPr>
      <w:sdtEndPr/>
      <w:sdtContent>
        <w:p w14:paraId="741CBAEE" w14:textId="77777777" w:rsidR="009E64A4" w:rsidRPr="0032145B" w:rsidRDefault="009E64A4" w:rsidP="009D13F4">
          <w:pPr>
            <w:pStyle w:val="ListParagraph"/>
            <w:numPr>
              <w:ilvl w:val="0"/>
              <w:numId w:val="30"/>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Vendosni objektiva që korrespondojnë me problemin dhe shkaqet e tij.</w:t>
          </w:r>
        </w:p>
        <w:p w14:paraId="0D3C43DC" w14:textId="77777777" w:rsidR="009E64A4" w:rsidRPr="0032145B" w:rsidRDefault="009E64A4" w:rsidP="009D13F4">
          <w:pPr>
            <w:pStyle w:val="ListParagraph"/>
            <w:numPr>
              <w:ilvl w:val="0"/>
              <w:numId w:val="30"/>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 xml:space="preserve">Sigurohuni që objektivat e vendosur të korrespondojnë me ato të dhëna në përmbledhjen ekzekutive, por më të detajuara. </w:t>
          </w:r>
        </w:p>
        <w:p w14:paraId="7A8705C6" w14:textId="3E5C82C2" w:rsidR="009E64A4" w:rsidRPr="00325A1F" w:rsidRDefault="009E64A4" w:rsidP="009D13F4">
          <w:pPr>
            <w:pStyle w:val="ListParagraph"/>
            <w:numPr>
              <w:ilvl w:val="0"/>
              <w:numId w:val="30"/>
            </w:numPr>
            <w:spacing w:after="0" w:line="276" w:lineRule="auto"/>
            <w:rPr>
              <w:rFonts w:ascii="Times New Roman" w:hAnsi="Times New Roman"/>
              <w:sz w:val="24"/>
              <w:szCs w:val="24"/>
              <w:lang w:val="sq-AL"/>
            </w:rPr>
          </w:pPr>
          <w:r w:rsidRPr="0032145B">
            <w:rPr>
              <w:rFonts w:ascii="Times New Roman" w:hAnsi="Times New Roman"/>
              <w:i/>
              <w:sz w:val="24"/>
              <w:szCs w:val="24"/>
              <w:lang w:val="sq-AL"/>
            </w:rPr>
            <w:lastRenderedPageBreak/>
            <w:t>Sigurohuni që objektivat janë specifikë, të matshëm, të arritshëm, realë dhe në kohë.</w:t>
          </w:r>
        </w:p>
      </w:sdtContent>
    </w:sdt>
    <w:p w14:paraId="221DFEA1" w14:textId="5BCE66A3" w:rsidR="00563378" w:rsidRPr="00563378" w:rsidRDefault="005D117E" w:rsidP="0030112C">
      <w:pPr>
        <w:spacing w:before="240"/>
        <w:jc w:val="both"/>
        <w:rPr>
          <w:color w:val="808080" w:themeColor="background1" w:themeShade="80"/>
          <w:lang w:val="sq-AL"/>
        </w:rPr>
      </w:pPr>
      <w:sdt>
        <w:sdtPr>
          <w:rPr>
            <w:rFonts w:eastAsiaTheme="majorEastAsia"/>
            <w:color w:val="808080" w:themeColor="background1" w:themeShade="80"/>
          </w:rPr>
          <w:id w:val="-411319569"/>
          <w:placeholder>
            <w:docPart w:val="1B5742A7A4F94DA1B86FBACFB3D31E60"/>
          </w:placeholder>
        </w:sdtPr>
        <w:sdtEndPr/>
        <w:sdtContent>
          <w:r w:rsidR="00A4007F" w:rsidRPr="00C12E81">
            <w:rPr>
              <w:color w:val="000000" w:themeColor="text1"/>
            </w:rPr>
            <w:t>Objektivat e ndërhyrjes së qeverisë me anë të ndryshimeve në ligj, paraqiten si më poshtë:</w:t>
          </w:r>
          <w:r w:rsidR="00A4007F" w:rsidRPr="00C12E81">
            <w:rPr>
              <w:color w:val="000000" w:themeColor="text1"/>
            </w:rPr>
            <w:br/>
          </w:r>
          <w:r w:rsidR="00A4007F" w:rsidRPr="00C12E81">
            <w:rPr>
              <w:color w:val="000000" w:themeColor="text1"/>
              <w:u w:val="single"/>
            </w:rPr>
            <w:t xml:space="preserve">1. </w:t>
          </w:r>
          <w:r w:rsidR="00A4007F" w:rsidRPr="006D2117">
            <w:rPr>
              <w:color w:val="000000" w:themeColor="text1"/>
              <w:u w:val="single"/>
            </w:rPr>
            <w:t xml:space="preserve">Plotësimi i ligjit me masa </w:t>
          </w:r>
          <w:r w:rsidR="00085A72">
            <w:rPr>
              <w:color w:val="000000" w:themeColor="text1"/>
              <w:u w:val="single"/>
            </w:rPr>
            <w:t>konkrete</w:t>
          </w:r>
          <w:r w:rsidR="00085A72" w:rsidRPr="006D2117">
            <w:rPr>
              <w:color w:val="000000" w:themeColor="text1"/>
              <w:u w:val="single"/>
            </w:rPr>
            <w:t xml:space="preserve"> </w:t>
          </w:r>
          <w:r w:rsidR="00A4007F" w:rsidRPr="006D2117">
            <w:rPr>
              <w:color w:val="000000" w:themeColor="text1"/>
              <w:u w:val="single"/>
            </w:rPr>
            <w:t xml:space="preserve">për </w:t>
          </w:r>
          <w:r w:rsidR="00085A72">
            <w:rPr>
              <w:color w:val="000000" w:themeColor="text1"/>
              <w:u w:val="single"/>
            </w:rPr>
            <w:t>vazhdimin</w:t>
          </w:r>
          <w:r w:rsidR="00A4007F" w:rsidRPr="006D2117">
            <w:rPr>
              <w:color w:val="000000" w:themeColor="text1"/>
              <w:u w:val="single"/>
            </w:rPr>
            <w:t xml:space="preserve"> e luftës ndaj kriminalitetit dhe pastrimit të parave e financ</w:t>
          </w:r>
          <w:r w:rsidR="00A4007F">
            <w:rPr>
              <w:color w:val="000000" w:themeColor="text1"/>
              <w:u w:val="single"/>
            </w:rPr>
            <w:t>imit të terrorizmit</w:t>
          </w:r>
          <w:r w:rsidR="00085A72">
            <w:rPr>
              <w:color w:val="000000" w:themeColor="text1"/>
              <w:u w:val="single"/>
            </w:rPr>
            <w:t>, brenda vitit 2021</w:t>
          </w:r>
          <w:r w:rsidR="00A4007F">
            <w:rPr>
              <w:color w:val="000000" w:themeColor="text1"/>
              <w:u w:val="single"/>
            </w:rPr>
            <w:t>.</w:t>
          </w:r>
          <w:r w:rsidR="00A4007F" w:rsidRPr="006D2117">
            <w:rPr>
              <w:color w:val="000000" w:themeColor="text1"/>
            </w:rPr>
            <w:t xml:space="preserve"> </w:t>
          </w:r>
          <w:r w:rsidR="00A4007F" w:rsidRPr="00C12E81">
            <w:rPr>
              <w:color w:val="000000" w:themeColor="text1"/>
            </w:rPr>
            <w:t xml:space="preserve">Përmes ndryshimeve, synohet që ligji nr. 110/2018 “Për noterinë” </w:t>
          </w:r>
          <w:r w:rsidR="00085A72">
            <w:rPr>
              <w:color w:val="000000" w:themeColor="text1"/>
            </w:rPr>
            <w:t xml:space="preserve">të </w:t>
          </w:r>
          <w:r w:rsidR="00A4007F" w:rsidRPr="00C12E81">
            <w:rPr>
              <w:color w:val="000000" w:themeColor="text1"/>
            </w:rPr>
            <w:t xml:space="preserve">plotësohet me masa </w:t>
          </w:r>
          <w:r w:rsidR="000F0E3F">
            <w:rPr>
              <w:color w:val="000000" w:themeColor="text1"/>
            </w:rPr>
            <w:t>konkrete</w:t>
          </w:r>
          <w:r w:rsidR="00A4007F" w:rsidRPr="00C12E81">
            <w:rPr>
              <w:color w:val="000000" w:themeColor="text1"/>
            </w:rPr>
            <w:t xml:space="preserve"> dhe të parashikuara shprehimisht në ligj. Kështu, lufta për parandalimin e pastrimit të parave dhe financimin e terrorizmit do të jetë më efektive pasi do të ndalohet licencimi i personave të cilët nuk kanë integritetin e nevojshëm për të qenë noter nëpërmjet një kontrolli më të imtësishëm të plotësimit të kushteve për</w:t>
          </w:r>
          <w:r w:rsidR="00451404">
            <w:rPr>
              <w:color w:val="000000" w:themeColor="text1"/>
            </w:rPr>
            <w:t xml:space="preserve"> hyrjen dhe</w:t>
          </w:r>
          <w:r w:rsidR="00A4007F" w:rsidRPr="00C12E81">
            <w:rPr>
              <w:color w:val="000000" w:themeColor="text1"/>
            </w:rPr>
            <w:t xml:space="preserve"> ushtrimin e profesionit, veçanërisht ai i c</w:t>
          </w:r>
          <w:r w:rsidR="00A4007F">
            <w:rPr>
              <w:color w:val="000000" w:themeColor="text1"/>
            </w:rPr>
            <w:t>ili lidhet me integritetin</w:t>
          </w:r>
          <w:r w:rsidR="00A4007F" w:rsidRPr="00C12E81">
            <w:rPr>
              <w:color w:val="000000" w:themeColor="text1"/>
            </w:rPr>
            <w:t>, si dhe adresimi i rasteve të përfshirjes së zëvendësnoterëve dhe noterëve në veprimtari kriminale. Këto ndryshime do të sjellin një përmirësim të dukshëm të standardeve që aplikon vendi ynë në drejtim të luftës për parandalimin e pastrimit</w:t>
          </w:r>
          <w:r w:rsidR="000F0E3F">
            <w:rPr>
              <w:color w:val="000000" w:themeColor="text1"/>
            </w:rPr>
            <w:t xml:space="preserve"> të parave</w:t>
          </w:r>
          <w:r w:rsidR="00451404">
            <w:rPr>
              <w:color w:val="000000" w:themeColor="text1"/>
            </w:rPr>
            <w:t xml:space="preserve">, si dhe të </w:t>
          </w:r>
          <w:r w:rsidR="00ED508B">
            <w:rPr>
              <w:color w:val="000000" w:themeColor="text1"/>
            </w:rPr>
            <w:t>standardit të integritetit të profesionistëve</w:t>
          </w:r>
          <w:r w:rsidR="00A4007F" w:rsidRPr="00C12E81">
            <w:rPr>
              <w:color w:val="000000" w:themeColor="text1"/>
            </w:rPr>
            <w:t>.</w:t>
          </w:r>
          <w:r w:rsidR="00A4007F" w:rsidRPr="00C12E81">
            <w:rPr>
              <w:color w:val="000000" w:themeColor="text1"/>
            </w:rPr>
            <w:br/>
          </w:r>
          <w:r w:rsidR="00A4007F" w:rsidRPr="00C12E81">
            <w:rPr>
              <w:color w:val="000000" w:themeColor="text1"/>
            </w:rPr>
            <w:br/>
            <w:t xml:space="preserve">2. </w:t>
          </w:r>
          <w:r w:rsidR="00A4007F" w:rsidRPr="006D2117">
            <w:rPr>
              <w:color w:val="000000" w:themeColor="text1"/>
              <w:u w:val="single"/>
            </w:rPr>
            <w:t>Përmbushja e rekomandimeve ndërkombëtare</w:t>
          </w:r>
          <w:r w:rsidR="005E6214">
            <w:rPr>
              <w:color w:val="000000" w:themeColor="text1"/>
              <w:u w:val="single"/>
            </w:rPr>
            <w:t xml:space="preserve"> të caktuara për Ministrinë e Drejtësisë</w:t>
          </w:r>
          <w:r w:rsidR="00A4007F" w:rsidRPr="006D2117">
            <w:rPr>
              <w:color w:val="000000" w:themeColor="text1"/>
              <w:u w:val="single"/>
            </w:rPr>
            <w:t xml:space="preserve"> në fushën e </w:t>
          </w:r>
          <w:r w:rsidR="00A928C9">
            <w:rPr>
              <w:color w:val="000000" w:themeColor="text1"/>
              <w:u w:val="single"/>
            </w:rPr>
            <w:t>noterisë brenda vitit 2021</w:t>
          </w:r>
          <w:r w:rsidR="005E6214">
            <w:rPr>
              <w:color w:val="000000" w:themeColor="text1"/>
              <w:u w:val="single"/>
            </w:rPr>
            <w:t xml:space="preserve"> me qëllim</w:t>
          </w:r>
          <w:r w:rsidR="00A4007F" w:rsidRPr="006D2117">
            <w:rPr>
              <w:color w:val="000000" w:themeColor="text1"/>
              <w:u w:val="single"/>
            </w:rPr>
            <w:t xml:space="preserve"> nxjerrj</w:t>
          </w:r>
          <w:r w:rsidR="00A928C9">
            <w:rPr>
              <w:color w:val="000000" w:themeColor="text1"/>
              <w:u w:val="single"/>
            </w:rPr>
            <w:t>en</w:t>
          </w:r>
          <w:r w:rsidR="00A4007F" w:rsidRPr="006D2117">
            <w:rPr>
              <w:color w:val="000000" w:themeColor="text1"/>
              <w:u w:val="single"/>
            </w:rPr>
            <w:t xml:space="preserve"> e vendit nga lista e vendeve “nën monitorim të shtuar”</w:t>
          </w:r>
          <w:r w:rsidR="00A4007F" w:rsidRPr="00C12E81">
            <w:rPr>
              <w:color w:val="000000" w:themeColor="text1"/>
              <w:u w:val="single"/>
            </w:rPr>
            <w:t>.</w:t>
          </w:r>
          <w:r w:rsidR="00A4007F" w:rsidRPr="00C12E81">
            <w:rPr>
              <w:color w:val="000000" w:themeColor="text1"/>
            </w:rPr>
            <w:t xml:space="preserve"> </w:t>
          </w:r>
          <w:r w:rsidR="00F8607A">
            <w:rPr>
              <w:color w:val="000000" w:themeColor="text1"/>
            </w:rPr>
            <w:t xml:space="preserve"> </w:t>
          </w:r>
          <w:r w:rsidR="005E6214">
            <w:rPr>
              <w:color w:val="000000" w:themeColor="text1"/>
            </w:rPr>
            <w:t>N</w:t>
          </w:r>
          <w:r w:rsidR="00A4007F" w:rsidRPr="00C12E81">
            <w:rPr>
              <w:color w:val="000000" w:themeColor="text1"/>
            </w:rPr>
            <w:t>dryshime</w:t>
          </w:r>
          <w:r w:rsidR="000F0E3F">
            <w:rPr>
              <w:color w:val="000000" w:themeColor="text1"/>
            </w:rPr>
            <w:t>t</w:t>
          </w:r>
          <w:r w:rsidR="005E6214" w:rsidRPr="005E6214">
            <w:rPr>
              <w:color w:val="000000"/>
              <w:szCs w:val="24"/>
            </w:rPr>
            <w:t xml:space="preserve"> </w:t>
          </w:r>
          <w:r w:rsidR="005E6214">
            <w:rPr>
              <w:color w:val="000000"/>
              <w:szCs w:val="24"/>
            </w:rPr>
            <w:t>synojnë përmbushjen e rekomandimeve të MONEYVAL, në kuadër të planit ICRG/FTAF, (konkretisht në rezultatin imediat IO3.3 “Kërkohen amendime në ligjin për noterinë – revokime licencash edhe nga Ministria e Drejtësisë”) brenda vitit 2021. Këto ndryshime</w:t>
          </w:r>
          <w:r w:rsidR="000F0E3F">
            <w:rPr>
              <w:color w:val="000000"/>
              <w:szCs w:val="24"/>
            </w:rPr>
            <w:t xml:space="preserve"> </w:t>
          </w:r>
          <w:r w:rsidR="00A4007F" w:rsidRPr="00C12E81">
            <w:rPr>
              <w:color w:val="000000" w:themeColor="text1"/>
            </w:rPr>
            <w:t xml:space="preserve">do të sjellin një përmirësim të dukshëm të standardeve që aplikon vendi ynë në drejtim të luftës </w:t>
          </w:r>
          <w:r w:rsidR="00A4007F">
            <w:rPr>
              <w:color w:val="000000" w:themeColor="text1"/>
            </w:rPr>
            <w:t xml:space="preserve">ndaj krimit dhe </w:t>
          </w:r>
          <w:r w:rsidR="00A4007F" w:rsidRPr="00C12E81">
            <w:rPr>
              <w:color w:val="000000" w:themeColor="text1"/>
            </w:rPr>
            <w:t>parandalimi</w:t>
          </w:r>
          <w:r w:rsidR="00A4007F">
            <w:rPr>
              <w:color w:val="000000" w:themeColor="text1"/>
            </w:rPr>
            <w:t>t të</w:t>
          </w:r>
          <w:r w:rsidR="00A4007F" w:rsidRPr="00C12E81">
            <w:rPr>
              <w:color w:val="000000" w:themeColor="text1"/>
            </w:rPr>
            <w:t xml:space="preserve"> pastrimit të parave,</w:t>
          </w:r>
          <w:r w:rsidR="000F0E3F">
            <w:rPr>
              <w:color w:val="000000" w:themeColor="text1"/>
            </w:rPr>
            <w:t xml:space="preserve"> </w:t>
          </w:r>
          <w:r w:rsidR="00A4007F" w:rsidRPr="00C12E81">
            <w:rPr>
              <w:color w:val="000000" w:themeColor="text1"/>
            </w:rPr>
            <w:t>me qëllim nxjerrjen e vendit nga lista gri.</w:t>
          </w:r>
          <w:r w:rsidR="00A4007F">
            <w:rPr>
              <w:color w:val="000000" w:themeColor="text1"/>
            </w:rPr>
            <w:t xml:space="preserve"> </w:t>
          </w:r>
          <w:r w:rsidR="00A4007F">
            <w:rPr>
              <w:color w:val="000000" w:themeColor="text1"/>
            </w:rPr>
            <w:br/>
          </w:r>
          <w:r w:rsidR="00A4007F">
            <w:rPr>
              <w:color w:val="000000" w:themeColor="text1"/>
            </w:rPr>
            <w:br/>
          </w:r>
          <w:r w:rsidR="00A4007F" w:rsidRPr="00C12E81">
            <w:rPr>
              <w:color w:val="000000" w:themeColor="text1"/>
            </w:rPr>
            <w:t xml:space="preserve">3. </w:t>
          </w:r>
          <w:r w:rsidR="00F8607A" w:rsidRPr="00F8607A">
            <w:rPr>
              <w:color w:val="000000" w:themeColor="text1"/>
              <w:u w:val="single"/>
            </w:rPr>
            <w:t>P</w:t>
          </w:r>
          <w:r w:rsidR="00A4007F" w:rsidRPr="006D2117">
            <w:rPr>
              <w:color w:val="000000" w:themeColor="text1"/>
              <w:u w:val="single"/>
            </w:rPr>
            <w:t>arandalimi i depërtimit dhe goditja e elementëve k</w:t>
          </w:r>
          <w:r w:rsidR="00A4007F">
            <w:rPr>
              <w:color w:val="000000" w:themeColor="text1"/>
              <w:u w:val="single"/>
            </w:rPr>
            <w:t xml:space="preserve">riminalë në radhët </w:t>
          </w:r>
          <w:r w:rsidR="00A4007F" w:rsidRPr="00C12E81">
            <w:rPr>
              <w:color w:val="000000" w:themeColor="text1"/>
              <w:u w:val="single"/>
            </w:rPr>
            <w:t>e noterëve</w:t>
          </w:r>
          <w:r w:rsidR="00A4007F">
            <w:rPr>
              <w:color w:val="000000" w:themeColor="text1"/>
              <w:u w:val="single"/>
            </w:rPr>
            <w:t xml:space="preserve"> dhe zëvendësnoterëve</w:t>
          </w:r>
          <w:r w:rsidR="00A4007F" w:rsidRPr="00C12E81">
            <w:rPr>
              <w:color w:val="000000" w:themeColor="text1"/>
              <w:u w:val="single"/>
            </w:rPr>
            <w:t>.</w:t>
          </w:r>
          <w:r w:rsidR="00A4007F" w:rsidRPr="006D2117">
            <w:rPr>
              <w:color w:val="000000" w:themeColor="text1"/>
            </w:rPr>
            <w:t xml:space="preserve"> </w:t>
          </w:r>
          <w:r w:rsidR="00A4007F" w:rsidRPr="00C12E81">
            <w:rPr>
              <w:color w:val="000000" w:themeColor="text1"/>
            </w:rPr>
            <w:t>Përmes projektligjit synohet që të vendoset një kontroll më i imtësishëm</w:t>
          </w:r>
          <w:r w:rsidR="00A4007F">
            <w:rPr>
              <w:color w:val="000000" w:themeColor="text1"/>
            </w:rPr>
            <w:t xml:space="preserve"> në kriteret</w:t>
          </w:r>
          <w:r w:rsidR="000F0E3F">
            <w:rPr>
              <w:color w:val="000000" w:themeColor="text1"/>
            </w:rPr>
            <w:t xml:space="preserve"> e integritetit</w:t>
          </w:r>
          <w:r w:rsidR="00A4007F">
            <w:rPr>
              <w:color w:val="000000" w:themeColor="text1"/>
            </w:rPr>
            <w:t xml:space="preserve"> për hyrjen në profesion</w:t>
          </w:r>
          <w:r w:rsidR="00A4007F" w:rsidRPr="00C12E81">
            <w:rPr>
              <w:color w:val="000000" w:themeColor="text1"/>
            </w:rPr>
            <w:t xml:space="preserve"> për të parandaluar depërtimin e elementëve kriminalë duke verifikuar në mënyrë të hollësishme jo vetëm gjendjen gjyqësore</w:t>
          </w:r>
          <w:r w:rsidR="00A4007F">
            <w:rPr>
              <w:color w:val="000000" w:themeColor="text1"/>
            </w:rPr>
            <w:t xml:space="preserve"> të kandidatit por</w:t>
          </w:r>
          <w:r w:rsidR="008E1C76">
            <w:rPr>
              <w:color w:val="000000" w:themeColor="text1"/>
            </w:rPr>
            <w:t>,</w:t>
          </w:r>
          <w:r w:rsidR="00A4007F">
            <w:rPr>
              <w:color w:val="000000" w:themeColor="text1"/>
            </w:rPr>
            <w:t xml:space="preserve"> edhe nëse subjektet </w:t>
          </w:r>
          <w:r w:rsidR="00A4007F" w:rsidRPr="00C12E81">
            <w:rPr>
              <w:color w:val="000000" w:themeColor="text1"/>
            </w:rPr>
            <w:t xml:space="preserve">janë të përfshirë në kryerjen e veprimtarive kriminale </w:t>
          </w:r>
          <w:r w:rsidR="00A4007F">
            <w:rPr>
              <w:color w:val="000000" w:themeColor="text1"/>
            </w:rPr>
            <w:t>përfshirë këtu</w:t>
          </w:r>
          <w:r w:rsidR="00A4007F" w:rsidRPr="00C12E81">
            <w:rPr>
              <w:color w:val="000000" w:themeColor="text1"/>
            </w:rPr>
            <w:t xml:space="preserve"> pastrimi</w:t>
          </w:r>
          <w:r w:rsidR="00A4007F">
            <w:rPr>
              <w:color w:val="000000" w:themeColor="text1"/>
            </w:rPr>
            <w:t>n e</w:t>
          </w:r>
          <w:r w:rsidR="00A4007F" w:rsidRPr="00C12E81">
            <w:rPr>
              <w:color w:val="000000" w:themeColor="text1"/>
            </w:rPr>
            <w:t xml:space="preserve"> parave dhe financimin e terrorizmit</w:t>
          </w:r>
          <w:r w:rsidR="00A928C9">
            <w:rPr>
              <w:color w:val="000000" w:themeColor="text1"/>
            </w:rPr>
            <w:t>,</w:t>
          </w:r>
          <w:r w:rsidR="00A928C9" w:rsidRPr="00A928C9">
            <w:rPr>
              <w:color w:val="000000" w:themeColor="text1"/>
            </w:rPr>
            <w:t xml:space="preserve"> </w:t>
          </w:r>
          <w:r w:rsidR="00A928C9">
            <w:rPr>
              <w:color w:val="000000" w:themeColor="text1"/>
            </w:rPr>
            <w:t>duke prezantuar kështu kritere të reja</w:t>
          </w:r>
          <w:r w:rsidR="00A4007F" w:rsidRPr="00C12E81">
            <w:rPr>
              <w:color w:val="000000" w:themeColor="text1"/>
            </w:rPr>
            <w:t>. Gjithashtu, përmes këtyre ndryshimeve synohet që të zgjerohen rastet e pezullimit dhe heqjes së licences kur zëvendësnoteri ose noteri nuk gëzon më integritetin e nevojshëm për të vazhduar profesionin. Ky objektiv do të realizohet përmes parashikimit të kushteve shtesë për licencimin e kandidatëve</w:t>
          </w:r>
          <w:r w:rsidR="008E1C76">
            <w:rPr>
              <w:color w:val="000000" w:themeColor="text1"/>
            </w:rPr>
            <w:t>,</w:t>
          </w:r>
          <w:r w:rsidR="00A4007F" w:rsidRPr="00C12E81">
            <w:rPr>
              <w:color w:val="000000" w:themeColor="text1"/>
            </w:rPr>
            <w:t xml:space="preserve"> si dhe përmes pezullimit dhe heqjes së licencave në rast se provohen rastet e parashikuara në ligj.</w:t>
          </w:r>
          <w:r w:rsidR="00A4007F" w:rsidRPr="00C12E81">
            <w:rPr>
              <w:color w:val="000000" w:themeColor="text1"/>
            </w:rPr>
            <w:br/>
          </w:r>
          <w:r w:rsidR="00A4007F" w:rsidRPr="00C12E81">
            <w:rPr>
              <w:color w:val="000000" w:themeColor="text1"/>
            </w:rPr>
            <w:br/>
            <w:t xml:space="preserve">4. </w:t>
          </w:r>
          <w:r w:rsidR="00085A72">
            <w:rPr>
              <w:color w:val="000000" w:themeColor="text1"/>
              <w:u w:val="single"/>
            </w:rPr>
            <w:t>Ulja e</w:t>
          </w:r>
          <w:r w:rsidR="00A4007F" w:rsidRPr="00C12E81">
            <w:rPr>
              <w:color w:val="000000" w:themeColor="text1"/>
              <w:u w:val="single"/>
            </w:rPr>
            <w:t xml:space="preserve"> rrisqeve dhe praktikave të pastrimit të parave dhe financimit të terrorizmit nga noterët</w:t>
          </w:r>
          <w:r w:rsidR="00F8607A" w:rsidRPr="0030112C">
            <w:rPr>
              <w:color w:val="000000" w:themeColor="text1"/>
              <w:u w:val="single"/>
            </w:rPr>
            <w:t xml:space="preserve"> </w:t>
          </w:r>
          <w:r w:rsidR="00085A72" w:rsidRPr="0030112C">
            <w:rPr>
              <w:u w:val="single"/>
            </w:rPr>
            <w:t>brenda  3 viteve të ardhsh</w:t>
          </w:r>
          <w:r w:rsidR="00F80354" w:rsidRPr="0030112C">
            <w:rPr>
              <w:u w:val="single"/>
            </w:rPr>
            <w:t>me</w:t>
          </w:r>
          <w:r w:rsidR="00085A72" w:rsidRPr="0030112C">
            <w:rPr>
              <w:u w:val="single"/>
            </w:rPr>
            <w:t>, nëpërmjet zbatimit rigoroz të kritereve të licensimit dhe marrjes së masave parandaluese e ndëshkuese për të garantuar zbatimin me korrektësi të legjislacionit në fuqi</w:t>
          </w:r>
          <w:r w:rsidR="00F8607A">
            <w:t>.</w:t>
          </w:r>
          <w:r w:rsidR="00A4007F" w:rsidRPr="00C12E81">
            <w:rPr>
              <w:color w:val="000000" w:themeColor="text1"/>
            </w:rPr>
            <w:t xml:space="preserve"> </w:t>
          </w:r>
          <w:r w:rsidR="0030112C">
            <w:rPr>
              <w:color w:val="000000" w:themeColor="text1"/>
            </w:rPr>
            <w:t>Gjatë viteve 2019-2020 në Drejtorinë e Përgjithshme të Parandalimit të Pastrimit të Par</w:t>
          </w:r>
          <w:r w:rsidR="0035306E">
            <w:rPr>
              <w:color w:val="000000" w:themeColor="text1"/>
            </w:rPr>
            <w:t>a</w:t>
          </w:r>
          <w:r w:rsidR="0030112C">
            <w:rPr>
              <w:color w:val="000000" w:themeColor="text1"/>
            </w:rPr>
            <w:t>v</w:t>
          </w:r>
          <w:r w:rsidR="0035306E">
            <w:rPr>
              <w:color w:val="000000" w:themeColor="text1"/>
            </w:rPr>
            <w:t>e</w:t>
          </w:r>
          <w:r w:rsidR="0030112C">
            <w:rPr>
              <w:color w:val="000000" w:themeColor="text1"/>
            </w:rPr>
            <w:t xml:space="preserve"> nga ana e noterëve janë raportuar gjithsej 654 raste të dyshimeve për pastrimin e parave</w:t>
          </w:r>
          <w:r w:rsidR="0035306E">
            <w:rPr>
              <w:color w:val="000000" w:themeColor="text1"/>
            </w:rPr>
            <w:t>, çka tregon për rrezikun e lartë që mbart në vetvete ushtrimi i këtij profesioni në raport me veprimtarinë e jashtëligjshme të pastrimit të parave</w:t>
          </w:r>
          <w:r w:rsidR="0030112C">
            <w:rPr>
              <w:color w:val="000000" w:themeColor="text1"/>
            </w:rPr>
            <w:t xml:space="preserve">. </w:t>
          </w:r>
          <w:r w:rsidR="00A4007F" w:rsidRPr="00C12E81">
            <w:rPr>
              <w:color w:val="000000" w:themeColor="text1"/>
            </w:rPr>
            <w:t>Përmes ndalimit të licencimit të personave të cilët kanë lidhje me krimin zvogëlohet në mënyrë të drejëpërdrejtë rreziku për pastrimin e parave sepse ndërpritet rruga e atyre kandidatëve të cilët nuk janë të përshtatshëm për të ushtruar profesionin e zëvendësnoterit dhe noterit</w:t>
          </w:r>
          <w:r w:rsidR="00ED508B">
            <w:rPr>
              <w:color w:val="000000" w:themeColor="text1"/>
            </w:rPr>
            <w:t>,</w:t>
          </w:r>
          <w:r w:rsidR="00A4007F" w:rsidRPr="00C12E81">
            <w:rPr>
              <w:color w:val="000000" w:themeColor="text1"/>
            </w:rPr>
            <w:t xml:space="preserve"> si dhe që në të ardhmen mund të bëhen shkak për lejimin apo zhvillimin e praktikave të p</w:t>
          </w:r>
          <w:r w:rsidR="008E1C76">
            <w:rPr>
              <w:color w:val="000000" w:themeColor="text1"/>
            </w:rPr>
            <w:t>astrimit të parave. Nga ana tjetër</w:t>
          </w:r>
          <w:r w:rsidR="00A4007F" w:rsidRPr="00C12E81">
            <w:rPr>
              <w:color w:val="000000" w:themeColor="text1"/>
            </w:rPr>
            <w:t>, sanksionet si pezullimi apo heqja e licences shërbejnë si një faktor tejet efektiv parandalues, ndërgjegjësues dhe ndëshkues në komunitetin e zëvendësnoterëve dhe noterëve për të shmangur çdo veprim të jashtëligjshëm përfshi këtu vepra penale të cilat do të kishin efekt direkt në licencën që ata zotërojnë.</w:t>
          </w:r>
          <w:r w:rsidR="00A4007F" w:rsidRPr="00C12E81">
            <w:rPr>
              <w:color w:val="000000" w:themeColor="text1"/>
            </w:rPr>
            <w:br/>
          </w:r>
          <w:r w:rsidR="00A4007F" w:rsidRPr="00C12E81">
            <w:rPr>
              <w:color w:val="000000" w:themeColor="text1"/>
            </w:rPr>
            <w:br/>
            <w:t xml:space="preserve">5. </w:t>
          </w:r>
          <w:r w:rsidR="00DD2D41">
            <w:rPr>
              <w:color w:val="000000" w:themeColor="text1"/>
              <w:u w:val="single"/>
            </w:rPr>
            <w:t>Forcimi i integritetit dhe</w:t>
          </w:r>
          <w:r w:rsidR="002A3897" w:rsidRPr="002A3897">
            <w:rPr>
              <w:color w:val="000000" w:themeColor="text1"/>
              <w:u w:val="single"/>
            </w:rPr>
            <w:t xml:space="preserve"> figurës së noterit, rritja e cilësisë së shërbimit notarial, si dhe rritja e besimit të publikut të profesioni i noterit.</w:t>
          </w:r>
          <w:r w:rsidR="00A4007F">
            <w:rPr>
              <w:color w:val="000000" w:themeColor="text1"/>
            </w:rPr>
            <w:t xml:space="preserve"> </w:t>
          </w:r>
          <w:r w:rsidR="00A4007F" w:rsidRPr="00C12E81">
            <w:rPr>
              <w:color w:val="000000" w:themeColor="text1"/>
            </w:rPr>
            <w:t>Duke parashikuar dispozita të veçanta mbi kontrollin e integritetit të</w:t>
          </w:r>
          <w:r w:rsidR="00A4007F">
            <w:rPr>
              <w:color w:val="000000" w:themeColor="text1"/>
            </w:rPr>
            <w:t xml:space="preserve"> të interesuarve,</w:t>
          </w:r>
          <w:r w:rsidR="00A4007F" w:rsidRPr="00C12E81">
            <w:rPr>
              <w:color w:val="000000" w:themeColor="text1"/>
            </w:rPr>
            <w:t xml:space="preserve"> kandidatëve</w:t>
          </w:r>
          <w:r w:rsidR="00A4007F">
            <w:rPr>
              <w:color w:val="000000" w:themeColor="text1"/>
            </w:rPr>
            <w:t xml:space="preserve"> për noter</w:t>
          </w:r>
          <w:r w:rsidR="00A4007F" w:rsidRPr="00C12E81">
            <w:rPr>
              <w:color w:val="000000" w:themeColor="text1"/>
            </w:rPr>
            <w:t xml:space="preserve">, zëvendësnoterëve dhe noterëve, si dhe  marrjen e masave në rast se vërehen përfshirje të tyre në veprimtari kriminale përmes pezullimit dhe heqjes së licences, profesioni i noterit pastrohet nga element të papërshtatshëm që nuk përputhen me natyrën e funksionit publik që ata ushtrojnë. Gjithashtu, </w:t>
          </w:r>
          <w:r w:rsidR="00A4007F" w:rsidRPr="00C12E81">
            <w:rPr>
              <w:color w:val="000000" w:themeColor="text1"/>
            </w:rPr>
            <w:lastRenderedPageBreak/>
            <w:t>tregu në përgjithësi dhe qytetarët do të përfitojnë një shërbim më cilësor</w:t>
          </w:r>
          <w:r w:rsidR="000F0E3F">
            <w:rPr>
              <w:color w:val="000000" w:themeColor="text1"/>
            </w:rPr>
            <w:t>,</w:t>
          </w:r>
          <w:r w:rsidR="00A4007F" w:rsidRPr="00C12E81">
            <w:rPr>
              <w:color w:val="000000" w:themeColor="text1"/>
            </w:rPr>
            <w:t xml:space="preserve"> nga zëvendësnoterë dhe noterë të cilët paraqesin një figurë të pastër</w:t>
          </w:r>
          <w:r w:rsidR="000F0E3F">
            <w:rPr>
              <w:color w:val="000000" w:themeColor="text1"/>
            </w:rPr>
            <w:t xml:space="preserve"> </w:t>
          </w:r>
          <w:r w:rsidR="00A4007F" w:rsidRPr="00C12E81">
            <w:rPr>
              <w:color w:val="000000" w:themeColor="text1"/>
            </w:rPr>
            <w:t>dhe që garantojnë zbatimin rigoroz të dispo</w:t>
          </w:r>
          <w:r w:rsidR="008E1C76">
            <w:rPr>
              <w:color w:val="000000" w:themeColor="text1"/>
            </w:rPr>
            <w:t xml:space="preserve">zitave në fuqi </w:t>
          </w:r>
          <w:r w:rsidR="00A4007F" w:rsidRPr="00C12E81">
            <w:rPr>
              <w:color w:val="000000" w:themeColor="text1"/>
            </w:rPr>
            <w:t>e që parandal</w:t>
          </w:r>
          <w:r w:rsidR="00A4007F">
            <w:rPr>
              <w:color w:val="000000" w:themeColor="text1"/>
            </w:rPr>
            <w:t>ojnë praktika të jashtëligjshme.</w:t>
          </w:r>
          <w:r w:rsidR="002A3897">
            <w:rPr>
              <w:color w:val="000000" w:themeColor="text1"/>
            </w:rPr>
            <w:t xml:space="preserve"> Përmes garantimit te integritetit të profesionistëve të sistemit notarial do të rritet edhe besimi te ky profesion</w:t>
          </w:r>
        </w:sdtContent>
      </w:sdt>
      <w:r w:rsidR="00563378" w:rsidRPr="00B85EAB">
        <w:rPr>
          <w:rFonts w:eastAsiaTheme="majorEastAsia"/>
          <w:color w:val="808080" w:themeColor="background1" w:themeShade="80"/>
          <w:lang w:val="sq-AL"/>
        </w:rPr>
        <w:t>.</w:t>
      </w:r>
    </w:p>
    <w:p w14:paraId="7B42B565" w14:textId="77777777" w:rsidR="002125B7"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Përshkrimi i opsioneve të shqyrtuara</w:t>
      </w:r>
    </w:p>
    <w:sdt>
      <w:sdtPr>
        <w:rPr>
          <w:rFonts w:ascii="Times New Roman" w:hAnsi="Times New Roman"/>
          <w:sz w:val="24"/>
          <w:szCs w:val="24"/>
          <w:lang w:val="sq-AL"/>
        </w:rPr>
        <w:id w:val="483215"/>
        <w:lock w:val="contentLocked"/>
        <w:placeholder>
          <w:docPart w:val="DefaultPlaceholder_1081868574"/>
        </w:placeholder>
      </w:sdtPr>
      <w:sdtEndPr>
        <w:rPr>
          <w:i/>
        </w:rPr>
      </w:sdtEndPr>
      <w:sdtContent>
        <w:p w14:paraId="023513BA" w14:textId="77777777" w:rsidR="009E64A4" w:rsidRPr="0032145B" w:rsidRDefault="009E64A4" w:rsidP="009D13F4">
          <w:pPr>
            <w:pStyle w:val="ListParagraph"/>
            <w:numPr>
              <w:ilvl w:val="0"/>
              <w:numId w:val="28"/>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 xml:space="preserve">Përshkruani opsionin e status quo-së. </w:t>
          </w:r>
        </w:p>
        <w:p w14:paraId="49427CE5" w14:textId="77777777" w:rsidR="009E64A4" w:rsidRPr="0032145B" w:rsidRDefault="009E64A4" w:rsidP="009D13F4">
          <w:pPr>
            <w:pStyle w:val="ListParagraph"/>
            <w:numPr>
              <w:ilvl w:val="0"/>
              <w:numId w:val="28"/>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Identifikoni dhe përshkruani të gjitha opsionet e politikave që keni marrë parasysh.</w:t>
          </w:r>
        </w:p>
        <w:p w14:paraId="75A3EFFB" w14:textId="7716EBDA" w:rsidR="009E64A4" w:rsidRPr="0032145B" w:rsidRDefault="009E64A4" w:rsidP="009D13F4">
          <w:pPr>
            <w:pStyle w:val="ListParagraph"/>
            <w:numPr>
              <w:ilvl w:val="0"/>
              <w:numId w:val="28"/>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 xml:space="preserve">Shpjegoni se si janë identifikuar opsionet e politikës.  </w:t>
          </w:r>
        </w:p>
      </w:sdtContent>
    </w:sdt>
    <w:p w14:paraId="2892DCDD" w14:textId="5FB5AF7B" w:rsidR="00563378" w:rsidRPr="00563378" w:rsidRDefault="005D117E" w:rsidP="00A4007F">
      <w:pPr>
        <w:spacing w:before="240"/>
        <w:jc w:val="both"/>
        <w:rPr>
          <w:color w:val="808080" w:themeColor="background1" w:themeShade="80"/>
          <w:szCs w:val="24"/>
          <w:lang w:val="sq-AL"/>
        </w:rPr>
      </w:pPr>
      <w:sdt>
        <w:sdtPr>
          <w:rPr>
            <w:rFonts w:eastAsiaTheme="majorEastAsia"/>
            <w:color w:val="808080" w:themeColor="background1" w:themeShade="80"/>
          </w:rPr>
          <w:id w:val="1247768188"/>
          <w:placeholder>
            <w:docPart w:val="094A48B080684960BF3A114CBE910244"/>
          </w:placeholder>
        </w:sdtPr>
        <w:sdtEndPr/>
        <w:sdtContent>
          <w:r w:rsidR="00A4007F" w:rsidRPr="00C12E81">
            <w:rPr>
              <w:b/>
              <w:color w:val="000000" w:themeColor="text1"/>
              <w:szCs w:val="24"/>
            </w:rPr>
            <w:t xml:space="preserve">Opsioni 0 (status quo): </w:t>
          </w:r>
          <w:r w:rsidR="00A4007F" w:rsidRPr="00C12E81">
            <w:rPr>
              <w:color w:val="000000" w:themeColor="text1"/>
              <w:szCs w:val="24"/>
            </w:rPr>
            <w:t>Ky opsion përcakton ruajtjen e standardeve të tanishme mbi mënyrën e kontrollit të figurës dhe gjendjes gjyqësore të personave të cilët aspirojnë të ushtrojnë profesionin e noterit. Aktualisht në ligjin nr. 110/2018 “Për noterinë”, është parashikuar si kusht për licencim që noteri të mos ketë qenë i dënuar për disa kategori të caktuara veprash penale dhe si shkak për pezullimin dhe heqjen e licencës janë vendosur dënimet për vepra penale dhe kryerja e shkeljeve disiplinore. Por</w:t>
          </w:r>
          <w:r w:rsidR="008E1C76">
            <w:rPr>
              <w:color w:val="000000" w:themeColor="text1"/>
              <w:szCs w:val="24"/>
            </w:rPr>
            <w:t>,</w:t>
          </w:r>
          <w:r w:rsidR="00A4007F" w:rsidRPr="00C12E81">
            <w:rPr>
              <w:color w:val="000000" w:themeColor="text1"/>
              <w:szCs w:val="24"/>
            </w:rPr>
            <w:t xml:space="preserve"> nga ana tjetër</w:t>
          </w:r>
          <w:r w:rsidR="008E1C76">
            <w:rPr>
              <w:color w:val="000000" w:themeColor="text1"/>
              <w:szCs w:val="24"/>
            </w:rPr>
            <w:t>,</w:t>
          </w:r>
          <w:r w:rsidR="00A4007F" w:rsidRPr="00C12E81">
            <w:rPr>
              <w:color w:val="000000" w:themeColor="text1"/>
              <w:szCs w:val="24"/>
            </w:rPr>
            <w:t xml:space="preserve"> këto parashikime nuk janë të plota</w:t>
          </w:r>
          <w:r w:rsidR="008E1C76">
            <w:rPr>
              <w:color w:val="000000" w:themeColor="text1"/>
              <w:szCs w:val="24"/>
            </w:rPr>
            <w:t xml:space="preserve"> dhe të mjaftuesh,e</w:t>
          </w:r>
          <w:r w:rsidR="00A4007F" w:rsidRPr="00C12E81">
            <w:rPr>
              <w:color w:val="000000" w:themeColor="text1"/>
              <w:szCs w:val="24"/>
            </w:rPr>
            <w:t xml:space="preserve"> pasi lidhen vetëm me gjendjen gjyqësore të </w:t>
          </w:r>
          <w:r w:rsidR="008E1C76">
            <w:rPr>
              <w:color w:val="000000" w:themeColor="text1"/>
              <w:szCs w:val="24"/>
            </w:rPr>
            <w:t>subjektit</w:t>
          </w:r>
          <w:r w:rsidR="00A4007F" w:rsidRPr="00C12E81">
            <w:rPr>
              <w:color w:val="000000" w:themeColor="text1"/>
              <w:szCs w:val="24"/>
            </w:rPr>
            <w:t xml:space="preserve"> në momente të caktuara kohore, pa marrë parasysh rastet e tjera të cilat mund të ndikojnë në depërtimin e elementëve kriminalë në profesion</w:t>
          </w:r>
          <w:r w:rsidR="00A4007F">
            <w:rPr>
              <w:color w:val="000000" w:themeColor="text1"/>
              <w:szCs w:val="24"/>
            </w:rPr>
            <w:t>, integritetin e tyre,</w:t>
          </w:r>
          <w:r w:rsidR="00A4007F" w:rsidRPr="00C12E81">
            <w:rPr>
              <w:color w:val="000000" w:themeColor="text1"/>
              <w:szCs w:val="24"/>
            </w:rPr>
            <w:t xml:space="preserve"> marrje</w:t>
          </w:r>
          <w:r w:rsidR="008E1C76">
            <w:rPr>
              <w:color w:val="000000" w:themeColor="text1"/>
              <w:szCs w:val="24"/>
            </w:rPr>
            <w:t>n</w:t>
          </w:r>
          <w:r w:rsidR="00A4007F" w:rsidRPr="00C12E81">
            <w:rPr>
              <w:color w:val="000000" w:themeColor="text1"/>
              <w:szCs w:val="24"/>
            </w:rPr>
            <w:t xml:space="preserve"> </w:t>
          </w:r>
          <w:r w:rsidR="008E1C76">
            <w:rPr>
              <w:color w:val="000000" w:themeColor="text1"/>
              <w:szCs w:val="24"/>
            </w:rPr>
            <w:t>e</w:t>
          </w:r>
          <w:r w:rsidR="00A4007F" w:rsidRPr="00C12E81">
            <w:rPr>
              <w:color w:val="000000" w:themeColor="text1"/>
              <w:szCs w:val="24"/>
            </w:rPr>
            <w:t xml:space="preserve"> masave të shpejta për trajti</w:t>
          </w:r>
          <w:r w:rsidR="00A4007F">
            <w:rPr>
              <w:color w:val="000000" w:themeColor="text1"/>
              <w:szCs w:val="24"/>
            </w:rPr>
            <w:t>min e praktikave të pastrimit t</w:t>
          </w:r>
          <w:r w:rsidR="002A3897">
            <w:rPr>
              <w:color w:val="000000" w:themeColor="text1"/>
              <w:szCs w:val="24"/>
            </w:rPr>
            <w:t>ë</w:t>
          </w:r>
          <w:r w:rsidR="00A4007F" w:rsidRPr="00C12E81">
            <w:rPr>
              <w:color w:val="000000" w:themeColor="text1"/>
              <w:szCs w:val="24"/>
            </w:rPr>
            <w:t xml:space="preserve"> parave apo të përfshirjes në vepra penale. Për këtë arsye nevojitet të ndërhyhet për të kontrolluar më mirë </w:t>
          </w:r>
          <w:r w:rsidR="000F0E3F">
            <w:rPr>
              <w:color w:val="000000" w:themeColor="text1"/>
              <w:szCs w:val="24"/>
            </w:rPr>
            <w:t>integriteti</w:t>
          </w:r>
          <w:r w:rsidR="002A3897">
            <w:rPr>
              <w:color w:val="000000" w:themeColor="text1"/>
              <w:szCs w:val="24"/>
            </w:rPr>
            <w:t>n</w:t>
          </w:r>
          <w:r w:rsidR="000F0E3F">
            <w:rPr>
              <w:color w:val="000000" w:themeColor="text1"/>
              <w:szCs w:val="24"/>
            </w:rPr>
            <w:t xml:space="preserve"> </w:t>
          </w:r>
          <w:r w:rsidR="00A4007F" w:rsidRPr="00C12E81">
            <w:rPr>
              <w:color w:val="000000" w:themeColor="text1"/>
              <w:szCs w:val="24"/>
            </w:rPr>
            <w:t xml:space="preserve">dhe për të parandaluar që në fillim depërtimin në këtë profesion edhe të personave të cilët, pavarësisht se në momentin e konkurrimit dhe licencimit nuk janë dënuar, mund të jenë përfshirë në kryerjen e veprave penale. </w:t>
          </w:r>
          <w:r w:rsidR="008E1C76">
            <w:rPr>
              <w:color w:val="000000" w:themeColor="text1"/>
              <w:szCs w:val="24"/>
            </w:rPr>
            <w:t>Gjithashtu,</w:t>
          </w:r>
          <w:r w:rsidR="00A4007F" w:rsidRPr="00C12E81">
            <w:rPr>
              <w:color w:val="000000" w:themeColor="text1"/>
              <w:szCs w:val="24"/>
            </w:rPr>
            <w:t xml:space="preserve"> ndërhyrja nevojitet për të adresuar rastet kur pas licencimit të tyre dhe gjatë ushtrimit të veprimtarisë, zëvendësnoterët dhe noterët përfshihen në veprimtari kriminale përfshi këtu edhe pastrimin e parave dhe financimin e terrorizmit. Duke qenë se rekomandimet ndërkombëtare kërkojnë ndërhyrje në ligj, dispozitat aktuale nuk sjellin rezultatin e nevojshëm </w:t>
          </w:r>
          <w:r w:rsidR="00A4007F">
            <w:rPr>
              <w:color w:val="000000" w:themeColor="text1"/>
              <w:szCs w:val="24"/>
            </w:rPr>
            <w:t xml:space="preserve"> </w:t>
          </w:r>
          <w:r w:rsidR="00A4007F">
            <w:rPr>
              <w:color w:val="000000" w:themeColor="text1"/>
              <w:szCs w:val="24"/>
            </w:rPr>
            <w:br/>
          </w:r>
          <w:r w:rsidR="00A4007F">
            <w:rPr>
              <w:b/>
              <w:color w:val="000000" w:themeColor="text1"/>
              <w:szCs w:val="24"/>
            </w:rPr>
            <w:br/>
          </w:r>
          <w:r w:rsidR="00A4007F" w:rsidRPr="00C12E81">
            <w:rPr>
              <w:b/>
              <w:color w:val="000000" w:themeColor="text1"/>
              <w:szCs w:val="24"/>
            </w:rPr>
            <w:t>Opsioni 1 (jo rregullator)</w:t>
          </w:r>
          <w:r w:rsidR="00A4007F" w:rsidRPr="00C12E81">
            <w:rPr>
              <w:color w:val="000000" w:themeColor="text1"/>
              <w:szCs w:val="24"/>
            </w:rPr>
            <w:t>:  Vetërregullimi ose ndërgjegjësimi i noterëve, nuk adreson siç duhet problemin me masat e duhura.  Këto metoda nuk kanë të njëjtin efektivitet dhe nuk mund të garantojnë përmbushjen e detyrimeve dhe rekomandimeve nga organizmat ndërkombëtarë si FATF/MONEYVAL mbi pastrimin e parave dhe financimin e terrorizmit. Tregu nuk është në gj</w:t>
          </w:r>
          <w:r w:rsidR="00A4007F">
            <w:rPr>
              <w:color w:val="000000" w:themeColor="text1"/>
              <w:szCs w:val="24"/>
            </w:rPr>
            <w:t>e</w:t>
          </w:r>
          <w:r w:rsidR="00A4007F" w:rsidRPr="00C12E81">
            <w:rPr>
              <w:color w:val="000000" w:themeColor="text1"/>
              <w:szCs w:val="24"/>
            </w:rPr>
            <w:t>ndje që të vetërregullohet sa i përket këtyre aspekteve dhe si rrjedhojë nevojitet parashikimi me ligj i disa masave të posaçme që synojnë të parandalojnë depë</w:t>
          </w:r>
          <w:r w:rsidR="002A3897">
            <w:rPr>
              <w:color w:val="000000" w:themeColor="text1"/>
              <w:szCs w:val="24"/>
            </w:rPr>
            <w:t>rtimin e elementëve kriminalë dhe</w:t>
          </w:r>
          <w:r w:rsidR="00A4007F" w:rsidRPr="00C12E81">
            <w:rPr>
              <w:color w:val="000000" w:themeColor="text1"/>
              <w:szCs w:val="24"/>
            </w:rPr>
            <w:t xml:space="preserve"> përfshirje</w:t>
          </w:r>
          <w:r w:rsidR="002A3897">
            <w:rPr>
              <w:color w:val="000000" w:themeColor="text1"/>
              <w:szCs w:val="24"/>
            </w:rPr>
            <w:t>n</w:t>
          </w:r>
          <w:r w:rsidR="00A4007F" w:rsidRPr="00C12E81">
            <w:rPr>
              <w:color w:val="000000" w:themeColor="text1"/>
              <w:szCs w:val="24"/>
            </w:rPr>
            <w:t xml:space="preserve"> në veprimtari kriminale.</w:t>
          </w:r>
          <w:r w:rsidR="00A85060">
            <w:rPr>
              <w:color w:val="000000" w:themeColor="text1"/>
              <w:szCs w:val="24"/>
            </w:rPr>
            <w:t xml:space="preserve"> Deri më tani janë kryer trajnime të stafit të strukturës përkatëse të Ministrisë së Drejtësisë mbi inspektimet me fokus parandalimin e pastrimit të parave duke sjellë rritje të cilësisë së këtyre inspektimeve. Nga ana tjetër këto inspektime nuk janë të mjaftueshme për shkak se ligji parashikon që ç</w:t>
          </w:r>
          <w:r w:rsidR="00A85060">
            <w:t>do zyrë noteriale të inspektohet me intervale të rregullta, por jo më pak se çdo katër vjet, duke mos lejuar ushtrimin e kontrolleve më të shpeshta</w:t>
          </w:r>
          <w:r w:rsidR="000F0E3F">
            <w:t xml:space="preserve"> por</w:t>
          </w:r>
          <w:r w:rsidR="008E1C76">
            <w:t>,</w:t>
          </w:r>
          <w:r w:rsidR="000F0E3F">
            <w:t xml:space="preserve"> zhvillimin e tyre vetëm në varësi të ankesave dhe informacioneve </w:t>
          </w:r>
          <w:r w:rsidR="002A3897">
            <w:t>të paraqitura</w:t>
          </w:r>
          <w:r w:rsidR="00A85060">
            <w:t>. Në lidhje me parandalimin e pastrimit të parave janë kryer e</w:t>
          </w:r>
          <w:r w:rsidR="00A85060">
            <w:rPr>
              <w:color w:val="000000" w:themeColor="text1"/>
              <w:szCs w:val="24"/>
            </w:rPr>
            <w:t>dhe trajnime të noterëve por</w:t>
          </w:r>
          <w:r w:rsidR="00C303A6">
            <w:rPr>
              <w:color w:val="000000" w:themeColor="text1"/>
              <w:szCs w:val="24"/>
            </w:rPr>
            <w:t>,</w:t>
          </w:r>
          <w:r w:rsidR="00A85060">
            <w:rPr>
              <w:color w:val="000000" w:themeColor="text1"/>
              <w:szCs w:val="24"/>
            </w:rPr>
            <w:t xml:space="preserve"> këto trajnime nuk garantojnë zbatimin e legjislacionit në mënyrën e duhur pa u shoqëruar me masa të tjera parandaluese dhe ndëshkuese.</w:t>
          </w:r>
          <w:r w:rsidR="002A3897">
            <w:rPr>
              <w:color w:val="000000" w:themeColor="text1"/>
              <w:szCs w:val="24"/>
            </w:rPr>
            <w:t xml:space="preserve"> Ndërkohë mbetet pa zgjidhje nevoja për të garantuar integritetin e kandidatëve për noter, zëvendësnoterëve e noterëve</w:t>
          </w:r>
          <w:r w:rsidR="00C303A6">
            <w:rPr>
              <w:color w:val="000000" w:themeColor="text1"/>
              <w:szCs w:val="24"/>
            </w:rPr>
            <w:t>.</w:t>
          </w:r>
          <w:r w:rsidR="00A4007F">
            <w:rPr>
              <w:b/>
              <w:color w:val="000000" w:themeColor="text1"/>
              <w:szCs w:val="24"/>
            </w:rPr>
            <w:br/>
          </w:r>
          <w:r w:rsidR="000F0E3F">
            <w:rPr>
              <w:b/>
              <w:color w:val="000000" w:themeColor="text1"/>
              <w:szCs w:val="24"/>
            </w:rPr>
            <w:br/>
          </w:r>
          <w:r w:rsidR="00A4007F" w:rsidRPr="00C12E81">
            <w:rPr>
              <w:b/>
              <w:color w:val="000000" w:themeColor="text1"/>
              <w:szCs w:val="24"/>
            </w:rPr>
            <w:t>Opsioni 2 (rregullator):</w:t>
          </w:r>
          <w:r w:rsidR="00A4007F" w:rsidRPr="00C12E81">
            <w:rPr>
              <w:color w:val="000000" w:themeColor="text1"/>
              <w:szCs w:val="24"/>
            </w:rPr>
            <w:t xml:space="preserve"> Ky është opsioni i preferuar. Ndryshimi i ligjit ekzistues dhe hartimi i akteve nënligjore për zbatimin e këtyre ndryshimeve është një masë e mjaftueshme dhe e përshtatshme për adresimin e problemit dhe përmbush detyrimet ndërkombëtare. Kjo pasi ndërhyrja përq</w:t>
          </w:r>
          <w:r w:rsidR="000F0E3F">
            <w:rPr>
              <w:color w:val="000000" w:themeColor="text1"/>
              <w:szCs w:val="24"/>
            </w:rPr>
            <w:t>ë</w:t>
          </w:r>
          <w:r w:rsidR="00A4007F" w:rsidRPr="00C12E81">
            <w:rPr>
              <w:color w:val="000000" w:themeColor="text1"/>
              <w:szCs w:val="24"/>
            </w:rPr>
            <w:t>ndrohet në ligjin aktual të noterisë pa pa</w:t>
          </w:r>
          <w:r w:rsidR="000F0E3F">
            <w:rPr>
              <w:color w:val="000000" w:themeColor="text1"/>
              <w:szCs w:val="24"/>
            </w:rPr>
            <w:t>s</w:t>
          </w:r>
          <w:r w:rsidR="00A4007F" w:rsidRPr="00C12E81">
            <w:rPr>
              <w:color w:val="000000" w:themeColor="text1"/>
              <w:szCs w:val="24"/>
            </w:rPr>
            <w:t xml:space="preserve">ur nevojën për të </w:t>
          </w:r>
          <w:r w:rsidR="00A4007F">
            <w:rPr>
              <w:color w:val="000000" w:themeColor="text1"/>
              <w:szCs w:val="24"/>
            </w:rPr>
            <w:t>hartuar një ligj</w:t>
          </w:r>
          <w:r w:rsidR="00A4007F" w:rsidRPr="00C12E81">
            <w:rPr>
              <w:color w:val="000000" w:themeColor="text1"/>
              <w:szCs w:val="24"/>
            </w:rPr>
            <w:t xml:space="preserve"> të ri</w:t>
          </w:r>
          <w:r w:rsidR="007F3AC0">
            <w:rPr>
              <w:color w:val="000000" w:themeColor="text1"/>
              <w:szCs w:val="24"/>
            </w:rPr>
            <w:t>.</w:t>
          </w:r>
          <w:r w:rsidR="007F3AC0" w:rsidRPr="00C12E81" w:rsidDel="007F3AC0">
            <w:rPr>
              <w:color w:val="000000" w:themeColor="text1"/>
              <w:szCs w:val="24"/>
            </w:rPr>
            <w:t xml:space="preserve"> </w:t>
          </w:r>
          <w:r w:rsidR="007F3AC0">
            <w:t xml:space="preserve">Në të kundërt, parimi për të pasur </w:t>
          </w:r>
          <w:r w:rsidR="000F0E3F">
            <w:t xml:space="preserve">vetëm </w:t>
          </w:r>
          <w:r w:rsidR="007F3AC0">
            <w:t>një ligj i cili rregullon të gjitha aspektet e një marrëdhënie apo fush</w:t>
          </w:r>
          <w:r w:rsidR="002A3897">
            <w:t>ë</w:t>
          </w:r>
          <w:r w:rsidR="007F3AC0">
            <w:t xml:space="preserve"> të caktuar nuk do të respektohej, çka në vetvete sjell paqartësi. </w:t>
          </w:r>
          <w:r w:rsidR="00A4007F" w:rsidRPr="00C12E81">
            <w:rPr>
              <w:color w:val="000000" w:themeColor="text1"/>
              <w:szCs w:val="24"/>
            </w:rPr>
            <w:t xml:space="preserve">Gjithashtu, ndryshimet </w:t>
          </w:r>
          <w:r w:rsidR="000F0E3F">
            <w:rPr>
              <w:color w:val="000000" w:themeColor="text1"/>
              <w:szCs w:val="24"/>
            </w:rPr>
            <w:t xml:space="preserve">synojnë të </w:t>
          </w:r>
          <w:r w:rsidR="00A4007F" w:rsidRPr="00C12E81">
            <w:rPr>
              <w:color w:val="000000" w:themeColor="text1"/>
              <w:szCs w:val="24"/>
            </w:rPr>
            <w:t>prekin dispozita që lidhen me kushtet për hyrjen dhe ushtrimin e profesionit të noterit, si dhe marrjen e masave të pezullimit dhe heqjes së licencës të cilat</w:t>
          </w:r>
          <w:r w:rsidR="00A4007F">
            <w:rPr>
              <w:color w:val="000000" w:themeColor="text1"/>
              <w:szCs w:val="24"/>
            </w:rPr>
            <w:t xml:space="preserve"> tashmë</w:t>
          </w:r>
          <w:r w:rsidR="00A4007F" w:rsidRPr="00C12E81">
            <w:rPr>
              <w:color w:val="000000" w:themeColor="text1"/>
              <w:szCs w:val="24"/>
            </w:rPr>
            <w:t xml:space="preserve"> janë të parashikuara në ligjin nr. 110/2018 “Për noterinë”. Edhe vetë rekomandimet e FATF/MONEYVAL kërkojnë amendi</w:t>
          </w:r>
          <w:r w:rsidR="00A4007F">
            <w:rPr>
              <w:color w:val="000000" w:themeColor="text1"/>
              <w:szCs w:val="24"/>
            </w:rPr>
            <w:t>ne të këtij ligji</w:t>
          </w:r>
          <w:r w:rsidR="00C303A6">
            <w:rPr>
              <w:color w:val="000000" w:themeColor="text1"/>
              <w:szCs w:val="24"/>
            </w:rPr>
            <w:t>,</w:t>
          </w:r>
          <w:r w:rsidR="00A4007F">
            <w:rPr>
              <w:color w:val="000000" w:themeColor="text1"/>
              <w:szCs w:val="24"/>
            </w:rPr>
            <w:t xml:space="preserve"> </w:t>
          </w:r>
          <w:r w:rsidR="00C303A6">
            <w:rPr>
              <w:color w:val="000000" w:themeColor="text1"/>
              <w:szCs w:val="24"/>
            </w:rPr>
            <w:t>i cili</w:t>
          </w:r>
          <w:r w:rsidR="00A4007F" w:rsidRPr="00C12E81">
            <w:rPr>
              <w:color w:val="000000" w:themeColor="text1"/>
              <w:szCs w:val="24"/>
            </w:rPr>
            <w:t xml:space="preserve"> </w:t>
          </w:r>
          <w:r w:rsidR="00A4007F" w:rsidRPr="00C12E81">
            <w:rPr>
              <w:color w:val="000000" w:themeColor="text1"/>
              <w:szCs w:val="24"/>
            </w:rPr>
            <w:lastRenderedPageBreak/>
            <w:t xml:space="preserve">është konsideruar si një hap i </w:t>
          </w:r>
          <w:r w:rsidR="007E0447">
            <w:rPr>
              <w:color w:val="000000" w:themeColor="text1"/>
              <w:szCs w:val="24"/>
            </w:rPr>
            <w:t xml:space="preserve">nevojshëm por edhe i </w:t>
          </w:r>
          <w:r w:rsidR="00A4007F" w:rsidRPr="00C12E81">
            <w:rPr>
              <w:color w:val="000000" w:themeColor="text1"/>
              <w:szCs w:val="24"/>
            </w:rPr>
            <w:t xml:space="preserve">mjaftueshëm për arritjen e standardit të kërkuar.   </w:t>
          </w:r>
          <w:r w:rsidR="00A4007F">
            <w:rPr>
              <w:color w:val="000000" w:themeColor="text1"/>
              <w:szCs w:val="24"/>
            </w:rPr>
            <w:br/>
          </w:r>
          <w:r w:rsidR="00A4007F">
            <w:rPr>
              <w:b/>
              <w:color w:val="000000" w:themeColor="text1"/>
              <w:szCs w:val="24"/>
            </w:rPr>
            <w:br/>
          </w:r>
          <w:r w:rsidR="00A4007F" w:rsidRPr="00C12E81">
            <w:rPr>
              <w:b/>
              <w:color w:val="000000" w:themeColor="text1"/>
              <w:szCs w:val="24"/>
            </w:rPr>
            <w:t>Opsioni 3 (rregullator):</w:t>
          </w:r>
          <w:r w:rsidR="00A4007F" w:rsidRPr="00C12E81">
            <w:rPr>
              <w:color w:val="000000" w:themeColor="text1"/>
              <w:szCs w:val="24"/>
            </w:rPr>
            <w:t xml:space="preserve"> Hartimi i një ligji të ri. Ky opsion është konsideruar si i panevojshëm</w:t>
          </w:r>
          <w:r w:rsidR="000F0E3F">
            <w:rPr>
              <w:color w:val="000000" w:themeColor="text1"/>
              <w:szCs w:val="24"/>
            </w:rPr>
            <w:t>, me kosto të lartë</w:t>
          </w:r>
          <w:r w:rsidR="00A4007F" w:rsidRPr="00C12E81">
            <w:rPr>
              <w:color w:val="000000" w:themeColor="text1"/>
              <w:szCs w:val="24"/>
            </w:rPr>
            <w:t xml:space="preserve"> dhe jo efektiv pasi problemi mund të adresohet më thjeshtë përmes ndryshimeve në ligj. Ndërhyrja nuk lidhet me krijimin e një marrëdhënie të re juridike dhe as me rregullimin e një marrëdhënieje për të cilën nuk ka një kuadër rregullator. Aktualisht ka një ligj të posaçëm</w:t>
          </w:r>
          <w:r w:rsidR="007E0447">
            <w:rPr>
              <w:color w:val="000000" w:themeColor="text1"/>
              <w:szCs w:val="24"/>
            </w:rPr>
            <w:t xml:space="preserve"> të hartuar së fundmi</w:t>
          </w:r>
          <w:r w:rsidR="00A4007F" w:rsidRPr="00C12E81">
            <w:rPr>
              <w:color w:val="000000" w:themeColor="text1"/>
              <w:szCs w:val="24"/>
            </w:rPr>
            <w:t xml:space="preserve"> që parashikon kushtet e licencimit dhe ushtrimit të veprimtaris</w:t>
          </w:r>
          <w:r w:rsidR="007E0447">
            <w:rPr>
              <w:color w:val="000000" w:themeColor="text1"/>
              <w:szCs w:val="24"/>
            </w:rPr>
            <w:t>ë noteriale,</w:t>
          </w:r>
          <w:r w:rsidR="00A4007F" w:rsidRPr="00C12E81">
            <w:rPr>
              <w:color w:val="000000" w:themeColor="text1"/>
              <w:szCs w:val="24"/>
            </w:rPr>
            <w:t xml:space="preserve"> i cili ka rritur standardet e ushtrimit të profesionit. Ndërkohë hartimi i një ligji të ri vështirëson zbatimin e tij për shkak të mosunifikimit të dispozitave që rregullojnë fushën</w:t>
          </w:r>
          <w:r w:rsidR="00A4007F">
            <w:rPr>
              <w:color w:val="000000" w:themeColor="text1"/>
              <w:szCs w:val="24"/>
            </w:rPr>
            <w:t>.</w:t>
          </w:r>
          <w:r w:rsidR="007F3AC0">
            <w:rPr>
              <w:color w:val="000000" w:themeColor="text1"/>
              <w:szCs w:val="24"/>
            </w:rPr>
            <w:t xml:space="preserve"> Gjithashtu, </w:t>
          </w:r>
          <w:r w:rsidR="007F3AC0">
            <w:t>hartimi i një ligji të ri do vononte akoma më shumë vendosjen e rregullave të reja, objektivat nuk do të mund të realizoheshin brenda afateve të synuara, si dhe paraq</w:t>
          </w:r>
          <w:r w:rsidR="00C303A6">
            <w:t>i</w:t>
          </w:r>
          <w:r w:rsidR="007F3AC0">
            <w:t>t</w:t>
          </w:r>
          <w:r w:rsidR="00C303A6">
            <w:t>en kost</w:t>
          </w:r>
          <w:r w:rsidR="007F3AC0">
            <w:t>o më të larta se sa opsioni i përzgjedhur</w:t>
          </w:r>
        </w:sdtContent>
      </w:sdt>
      <w:r w:rsidR="00563378" w:rsidRPr="00563378">
        <w:rPr>
          <w:rFonts w:eastAsiaTheme="majorEastAsia"/>
          <w:color w:val="808080" w:themeColor="background1" w:themeShade="80"/>
        </w:rPr>
        <w:t>.</w:t>
      </w:r>
    </w:p>
    <w:p w14:paraId="38233EFF" w14:textId="45DC09F9" w:rsidR="00D3286E"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Vlerësimi i opsioneve/analizimi i ndikimeve</w:t>
      </w:r>
      <w:r w:rsidR="00D3286E" w:rsidRPr="00325A1F">
        <w:rPr>
          <w:rFonts w:ascii="Times New Roman" w:hAnsi="Times New Roman" w:cs="Times New Roman"/>
          <w:sz w:val="24"/>
          <w:szCs w:val="24"/>
        </w:rPr>
        <w:fldChar w:fldCharType="begin">
          <w:ffData>
            <w:name w:val=""/>
            <w:enabled/>
            <w:calcOnExit w:val="0"/>
            <w:textInput>
              <w:default w:val="•   Për ndikimet e drejtpërdrejta:"/>
              <w:maxLength w:val="5000"/>
            </w:textInput>
          </w:ffData>
        </w:fldChar>
      </w:r>
      <w:r w:rsidR="00D3286E" w:rsidRPr="00325A1F">
        <w:rPr>
          <w:rFonts w:ascii="Times New Roman" w:hAnsi="Times New Roman" w:cs="Times New Roman"/>
          <w:sz w:val="24"/>
          <w:szCs w:val="24"/>
        </w:rPr>
        <w:instrText xml:space="preserve"> FORMTEXT </w:instrText>
      </w:r>
      <w:r w:rsidR="00D3286E" w:rsidRPr="00325A1F">
        <w:rPr>
          <w:rFonts w:ascii="Times New Roman" w:hAnsi="Times New Roman" w:cs="Times New Roman"/>
          <w:sz w:val="24"/>
          <w:szCs w:val="24"/>
        </w:rPr>
      </w:r>
      <w:r w:rsidR="00D3286E" w:rsidRPr="00325A1F">
        <w:rPr>
          <w:rFonts w:ascii="Times New Roman" w:hAnsi="Times New Roman" w:cs="Times New Roman"/>
          <w:sz w:val="24"/>
          <w:szCs w:val="24"/>
        </w:rPr>
        <w:fldChar w:fldCharType="separate"/>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sz w:val="24"/>
          <w:szCs w:val="24"/>
        </w:rPr>
        <w:fldChar w:fldCharType="end"/>
      </w:r>
    </w:p>
    <w:sdt>
      <w:sdtPr>
        <w:rPr>
          <w:rFonts w:cs="Times New Roman"/>
          <w:i/>
          <w:sz w:val="24"/>
          <w:szCs w:val="24"/>
          <w:lang w:val="sq-AL"/>
        </w:rPr>
        <w:id w:val="1457907593"/>
        <w:lock w:val="contentLocked"/>
        <w:placeholder>
          <w:docPart w:val="DefaultPlaceholder_1081868574"/>
        </w:placeholder>
      </w:sdtPr>
      <w:sdtEndPr/>
      <w:sdtContent>
        <w:bookmarkStart w:id="12" w:name="_Hlk506916825" w:displacedByCustomXml="prev"/>
        <w:p w14:paraId="4C2051C8" w14:textId="77777777" w:rsidR="0097570D" w:rsidRPr="0032145B" w:rsidRDefault="0097570D" w:rsidP="009D13F4">
          <w:pPr>
            <w:pStyle w:val="BodyText"/>
            <w:numPr>
              <w:ilvl w:val="0"/>
              <w:numId w:val="2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Identifikoni grupet e prekura.</w:t>
          </w:r>
        </w:p>
        <w:p w14:paraId="0EEE4232" w14:textId="77777777" w:rsidR="0097570D" w:rsidRPr="0032145B" w:rsidRDefault="0097570D" w:rsidP="009D13F4">
          <w:pPr>
            <w:pStyle w:val="BodyText"/>
            <w:numPr>
              <w:ilvl w:val="0"/>
              <w:numId w:val="24"/>
            </w:numPr>
            <w:tabs>
              <w:tab w:val="left" w:pos="567"/>
            </w:tabs>
            <w:spacing w:after="0" w:line="276" w:lineRule="auto"/>
            <w:ind w:left="540" w:hanging="180"/>
            <w:jc w:val="both"/>
            <w:rPr>
              <w:rFonts w:cs="Times New Roman"/>
              <w:i/>
              <w:sz w:val="24"/>
              <w:szCs w:val="24"/>
              <w:lang w:val="sq-AL"/>
            </w:rPr>
          </w:pPr>
          <w:r w:rsidRPr="0032145B">
            <w:rPr>
              <w:rFonts w:cs="Times New Roman"/>
              <w:i/>
              <w:sz w:val="24"/>
              <w:szCs w:val="24"/>
              <w:lang w:val="sq-AL"/>
            </w:rPr>
            <w:t>Identifikoni llojet e ndikimeve për secilin grup të prekur, bëni dallimin midis ndikimeve të drejtpërdrejta dhe jo të drejtpërdrejta.</w:t>
          </w:r>
        </w:p>
        <w:p w14:paraId="656E3827" w14:textId="77777777" w:rsidR="0097570D" w:rsidRPr="0032145B" w:rsidRDefault="0097570D" w:rsidP="009D13F4">
          <w:pPr>
            <w:pStyle w:val="BodyText"/>
            <w:numPr>
              <w:ilvl w:val="0"/>
              <w:numId w:val="2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 ndikimet e drejtpërdrejta:</w:t>
          </w:r>
        </w:p>
        <w:p w14:paraId="506D0EA7" w14:textId="77777777" w:rsidR="0097570D" w:rsidRPr="0032145B" w:rsidRDefault="0097570D" w:rsidP="009D13F4">
          <w:pPr>
            <w:pStyle w:val="BodyText"/>
            <w:spacing w:after="0" w:line="276" w:lineRule="auto"/>
            <w:ind w:left="720"/>
            <w:jc w:val="both"/>
            <w:rPr>
              <w:rFonts w:cs="Times New Roman"/>
              <w:i/>
              <w:sz w:val="24"/>
              <w:szCs w:val="24"/>
              <w:lang w:val="sq-AL"/>
            </w:rPr>
          </w:pPr>
          <w:r w:rsidRPr="0032145B">
            <w:rPr>
              <w:rFonts w:cs="Times New Roman"/>
              <w:i/>
              <w:sz w:val="24"/>
              <w:szCs w:val="24"/>
              <w:lang w:val="sq-AL"/>
            </w:rPr>
            <w:t xml:space="preserve"> </w:t>
          </w:r>
        </w:p>
        <w:p w14:paraId="02D7F862" w14:textId="77777777" w:rsidR="0097570D" w:rsidRPr="0032145B" w:rsidRDefault="0097570D" w:rsidP="009D13F4">
          <w:pPr>
            <w:pStyle w:val="BodyText"/>
            <w:numPr>
              <w:ilvl w:val="1"/>
              <w:numId w:val="24"/>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Përshkruani nga ana cilësore ndikimet e drejtpërdrejta mbi grupet e prekura.</w:t>
          </w:r>
        </w:p>
        <w:p w14:paraId="326087AB" w14:textId="77777777" w:rsidR="0097570D" w:rsidRPr="0032145B" w:rsidRDefault="0097570D" w:rsidP="009D13F4">
          <w:pPr>
            <w:pStyle w:val="BodyText"/>
            <w:numPr>
              <w:ilvl w:val="1"/>
              <w:numId w:val="24"/>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Analizoni nga ana sasiore ndikimet më të rëndësishme të drejtpërdrejta.</w:t>
          </w:r>
        </w:p>
        <w:p w14:paraId="3C416A37" w14:textId="6ED3752E" w:rsidR="0097570D" w:rsidRPr="0032145B" w:rsidRDefault="0097570D" w:rsidP="009D13F4">
          <w:pPr>
            <w:pStyle w:val="BodyText"/>
            <w:numPr>
              <w:ilvl w:val="1"/>
              <w:numId w:val="24"/>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 xml:space="preserve">Përcaktoni vlerën monetare të ndikimeve më të rëndësishme të drejtpërdrejta aty ku është e mundur (përdor tabelën në </w:t>
          </w:r>
          <w:r w:rsidR="00BD1479">
            <w:rPr>
              <w:rFonts w:eastAsiaTheme="majorEastAsia" w:cs="Times New Roman"/>
              <w:i/>
              <w:sz w:val="24"/>
              <w:szCs w:val="24"/>
              <w:lang w:val="sq-AL"/>
            </w:rPr>
            <w:t>A</w:t>
          </w:r>
          <w:r w:rsidRPr="0032145B">
            <w:rPr>
              <w:rFonts w:eastAsiaTheme="majorEastAsia" w:cs="Times New Roman"/>
              <w:i/>
              <w:sz w:val="24"/>
              <w:szCs w:val="24"/>
              <w:lang w:val="sq-AL"/>
            </w:rPr>
            <w:t>neksin 2/a të këtij dokumenti).</w:t>
          </w:r>
        </w:p>
        <w:p w14:paraId="413A5D5A" w14:textId="3C5CE3FC" w:rsidR="0097570D" w:rsidRPr="0032145B" w:rsidRDefault="0097570D" w:rsidP="009D13F4">
          <w:pPr>
            <w:pStyle w:val="BodyText"/>
            <w:numPr>
              <w:ilvl w:val="1"/>
              <w:numId w:val="24"/>
            </w:numPr>
            <w:tabs>
              <w:tab w:val="left" w:pos="567"/>
            </w:tabs>
            <w:spacing w:line="276" w:lineRule="auto"/>
            <w:jc w:val="both"/>
            <w:rPr>
              <w:rFonts w:cs="Times New Roman"/>
              <w:i/>
              <w:sz w:val="24"/>
              <w:szCs w:val="24"/>
              <w:lang w:val="sq-AL"/>
            </w:rPr>
          </w:pPr>
          <w:r w:rsidRPr="0032145B">
            <w:rPr>
              <w:rFonts w:eastAsiaTheme="majorEastAsia" w:cs="Times New Roman"/>
              <w:i/>
              <w:sz w:val="24"/>
              <w:szCs w:val="24"/>
              <w:lang w:val="sq-AL"/>
            </w:rPr>
            <w:t>Analizoni ndikimin mbi ndërmarrjet e vogla dhe të mesme (nëse ka).</w:t>
          </w:r>
        </w:p>
        <w:p w14:paraId="0E48AD0E" w14:textId="076371C2" w:rsidR="0097570D" w:rsidRPr="0032145B" w:rsidRDefault="0097570D" w:rsidP="009D13F4">
          <w:pPr>
            <w:pStyle w:val="BodyText"/>
            <w:numPr>
              <w:ilvl w:val="0"/>
              <w:numId w:val="2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 ndikimet jo të drejtpërdrejta:</w:t>
          </w:r>
        </w:p>
        <w:p w14:paraId="1523AD82" w14:textId="77777777" w:rsidR="0097570D" w:rsidRPr="0032145B" w:rsidRDefault="0097570D" w:rsidP="009D13F4">
          <w:pPr>
            <w:pStyle w:val="BodyText"/>
            <w:numPr>
              <w:ilvl w:val="1"/>
              <w:numId w:val="24"/>
            </w:numPr>
            <w:tabs>
              <w:tab w:val="left" w:pos="567"/>
            </w:tabs>
            <w:spacing w:after="0" w:line="276" w:lineRule="auto"/>
            <w:jc w:val="both"/>
            <w:rPr>
              <w:rFonts w:cs="Times New Roman"/>
              <w:i/>
              <w:sz w:val="24"/>
              <w:szCs w:val="24"/>
              <w:lang w:val="sq-AL"/>
            </w:rPr>
          </w:pPr>
          <w:r w:rsidRPr="0032145B">
            <w:rPr>
              <w:rFonts w:eastAsiaTheme="majorEastAsia" w:cs="Times New Roman"/>
              <w:i/>
              <w:sz w:val="24"/>
              <w:szCs w:val="24"/>
              <w:lang w:val="sq-AL"/>
            </w:rPr>
            <w:t>Përshkruani nga ana cilësore ndikimet jo të drejtpërdrejta mbi grupet e prekura.</w:t>
          </w:r>
        </w:p>
        <w:p w14:paraId="3FA4B359" w14:textId="2BC6772B" w:rsidR="0097570D" w:rsidRPr="0032145B" w:rsidRDefault="0097570D" w:rsidP="009D13F4">
          <w:pPr>
            <w:pStyle w:val="BodyText"/>
            <w:numPr>
              <w:ilvl w:val="1"/>
              <w:numId w:val="24"/>
            </w:numPr>
            <w:tabs>
              <w:tab w:val="left" w:pos="567"/>
            </w:tabs>
            <w:spacing w:line="276" w:lineRule="auto"/>
            <w:jc w:val="both"/>
            <w:rPr>
              <w:rFonts w:cs="Times New Roman"/>
              <w:i/>
              <w:sz w:val="24"/>
              <w:szCs w:val="24"/>
              <w:lang w:val="sq-AL"/>
            </w:rPr>
          </w:pPr>
          <w:r w:rsidRPr="0032145B">
            <w:rPr>
              <w:rFonts w:eastAsiaTheme="majorEastAsia" w:cs="Times New Roman"/>
              <w:i/>
              <w:sz w:val="24"/>
              <w:szCs w:val="24"/>
              <w:lang w:val="sq-AL"/>
            </w:rPr>
            <w:t>Analizoni ndikimin mbi konkurrencën.</w:t>
          </w:r>
          <w:r w:rsidRPr="0032145B">
            <w:rPr>
              <w:rFonts w:cs="Times New Roman"/>
              <w:i/>
              <w:sz w:val="24"/>
              <w:szCs w:val="24"/>
              <w:lang w:val="sq-AL"/>
            </w:rPr>
            <w:t xml:space="preserve">  </w:t>
          </w:r>
        </w:p>
        <w:p w14:paraId="72A4965F" w14:textId="352220CF" w:rsidR="0097570D" w:rsidRPr="0032145B" w:rsidRDefault="0097570D" w:rsidP="009D13F4">
          <w:pPr>
            <w:pStyle w:val="BodyText"/>
            <w:numPr>
              <w:ilvl w:val="0"/>
              <w:numId w:val="2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Diskutoni kufizimin e analizës:</w:t>
          </w:r>
        </w:p>
        <w:p w14:paraId="2F29AF67" w14:textId="77777777" w:rsidR="0097570D" w:rsidRPr="0032145B" w:rsidRDefault="0097570D" w:rsidP="009D13F4">
          <w:pPr>
            <w:pStyle w:val="BodyText"/>
            <w:numPr>
              <w:ilvl w:val="1"/>
              <w:numId w:val="24"/>
            </w:numPr>
            <w:tabs>
              <w:tab w:val="left" w:pos="567"/>
            </w:tabs>
            <w:spacing w:after="0" w:line="276" w:lineRule="auto"/>
            <w:jc w:val="both"/>
            <w:rPr>
              <w:rFonts w:cs="Times New Roman"/>
              <w:i/>
              <w:sz w:val="24"/>
              <w:szCs w:val="24"/>
              <w:lang w:val="sq-AL"/>
            </w:rPr>
          </w:pPr>
          <w:bookmarkStart w:id="13" w:name="_Hlk506917230"/>
          <w:bookmarkEnd w:id="12"/>
          <w:r w:rsidRPr="0032145B">
            <w:rPr>
              <w:rFonts w:cs="Times New Roman"/>
              <w:i/>
              <w:sz w:val="24"/>
              <w:szCs w:val="24"/>
              <w:lang w:val="sq-AL"/>
            </w:rPr>
            <w:t>Jepni supozimet në të cilat janë bazuar parashikimet dhe risqet, të cilave ato u nënshtrohen.</w:t>
          </w:r>
        </w:p>
        <w:p w14:paraId="0271CC12" w14:textId="6A4CCF7F" w:rsidR="0097570D" w:rsidRPr="0032145B" w:rsidRDefault="0097570D" w:rsidP="009D13F4">
          <w:pPr>
            <w:pStyle w:val="BodyText"/>
            <w:numPr>
              <w:ilvl w:val="1"/>
              <w:numId w:val="24"/>
            </w:numPr>
            <w:tabs>
              <w:tab w:val="left" w:pos="567"/>
            </w:tabs>
            <w:spacing w:line="276" w:lineRule="auto"/>
            <w:jc w:val="both"/>
            <w:rPr>
              <w:rFonts w:cs="Times New Roman"/>
              <w:i/>
              <w:sz w:val="24"/>
              <w:szCs w:val="24"/>
              <w:lang w:val="sq-AL"/>
            </w:rPr>
          </w:pPr>
          <w:r w:rsidRPr="0032145B">
            <w:rPr>
              <w:rFonts w:cs="Times New Roman"/>
              <w:i/>
              <w:sz w:val="24"/>
              <w:szCs w:val="24"/>
              <w:lang w:val="sq-AL"/>
            </w:rPr>
            <w:t>Tregoni se çfarë mund të pengojë realizimin e përfitimeve, të rrisë kostot ose të sjellë pasoja të papritura.</w:t>
          </w:r>
        </w:p>
        <w:p w14:paraId="5D0C1620" w14:textId="3C215225" w:rsidR="0097570D" w:rsidRPr="0032145B" w:rsidRDefault="0097570D" w:rsidP="009D13F4">
          <w:pPr>
            <w:pStyle w:val="BodyText"/>
            <w:numPr>
              <w:ilvl w:val="0"/>
              <w:numId w:val="2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Përmblidhni vlerësimin e opsioneve:</w:t>
          </w:r>
        </w:p>
        <w:p w14:paraId="33B9A856" w14:textId="77777777" w:rsidR="0097570D" w:rsidRPr="0032145B" w:rsidRDefault="0097570D" w:rsidP="009D13F4">
          <w:pPr>
            <w:pStyle w:val="BodyText"/>
            <w:numPr>
              <w:ilvl w:val="1"/>
              <w:numId w:val="2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Paraqisni një pasqyrë përmbledhëse të të gjitha ndikimeve të opsioneve të analizuara.</w:t>
          </w:r>
        </w:p>
        <w:p w14:paraId="747BB57E" w14:textId="77777777" w:rsidR="0097570D" w:rsidRPr="0032145B" w:rsidRDefault="0097570D" w:rsidP="009D13F4">
          <w:pPr>
            <w:pStyle w:val="BodyText"/>
            <w:numPr>
              <w:ilvl w:val="1"/>
              <w:numId w:val="2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Shpjegoni se si ndikimet e të gjitha opsioneve të analizuara krahasohen me njëra-tjetrën.</w:t>
          </w:r>
        </w:p>
        <w:p w14:paraId="01586808" w14:textId="2862C8D1" w:rsidR="002125B7" w:rsidRPr="0032145B" w:rsidRDefault="0097570D" w:rsidP="009D13F4">
          <w:pPr>
            <w:pStyle w:val="BodyText"/>
            <w:numPr>
              <w:ilvl w:val="1"/>
              <w:numId w:val="2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 xml:space="preserve">Paraqisni përllogaritjet më të mira të përgjithshme neto të ndikimit me vlerë monetare të përcaktuar për çdo opsion </w:t>
          </w:r>
          <w:r w:rsidR="00372979">
            <w:rPr>
              <w:rFonts w:eastAsiaTheme="majorEastAsia" w:cs="Times New Roman"/>
              <w:i/>
              <w:sz w:val="24"/>
              <w:szCs w:val="24"/>
              <w:lang w:val="sq-AL"/>
            </w:rPr>
            <w:t>(përdor tabelën në A</w:t>
          </w:r>
          <w:r w:rsidRPr="0032145B">
            <w:rPr>
              <w:rFonts w:eastAsiaTheme="majorEastAsia" w:cs="Times New Roman"/>
              <w:i/>
              <w:sz w:val="24"/>
              <w:szCs w:val="24"/>
              <w:lang w:val="sq-AL"/>
            </w:rPr>
            <w:t>neksin 2/b të këtij dokumenti).</w:t>
          </w:r>
        </w:p>
        <w:bookmarkEnd w:id="13" w:displacedByCustomXml="next"/>
      </w:sdtContent>
    </w:sdt>
    <w:bookmarkStart w:id="14" w:name="_Toc506919738" w:displacedByCustomXml="prev"/>
    <w:bookmarkEnd w:id="14"/>
    <w:p w14:paraId="0E6E16DC" w14:textId="03D4670A" w:rsidR="00563378" w:rsidRPr="00563378" w:rsidRDefault="005D117E" w:rsidP="00A4007F">
      <w:pPr>
        <w:spacing w:before="240"/>
        <w:jc w:val="both"/>
        <w:rPr>
          <w:color w:val="808080" w:themeColor="background1" w:themeShade="80"/>
          <w:szCs w:val="24"/>
          <w:lang w:val="sq-AL"/>
        </w:rPr>
      </w:pPr>
      <w:sdt>
        <w:sdtPr>
          <w:rPr>
            <w:rFonts w:eastAsiaTheme="majorEastAsia"/>
            <w:color w:val="808080" w:themeColor="background1" w:themeShade="80"/>
          </w:rPr>
          <w:id w:val="1625265021"/>
          <w:placeholder>
            <w:docPart w:val="867EF0DB10CB4A10BB29112D1FCD9786"/>
          </w:placeholder>
        </w:sdtPr>
        <w:sdtEndPr>
          <w:rPr>
            <w:color w:val="000000" w:themeColor="text1"/>
          </w:rPr>
        </w:sdtEndPr>
        <w:sdtContent>
          <w:r w:rsidR="00A4007F" w:rsidRPr="007B7002">
            <w:rPr>
              <w:color w:val="000000" w:themeColor="text1"/>
              <w:szCs w:val="24"/>
              <w:u w:val="single"/>
            </w:rPr>
            <w:t>Grupet e prekura</w:t>
          </w:r>
          <w:r w:rsidR="00A4007F">
            <w:rPr>
              <w:color w:val="000000" w:themeColor="text1"/>
              <w:szCs w:val="24"/>
            </w:rPr>
            <w:t xml:space="preserve"> </w:t>
          </w:r>
          <w:r w:rsidR="00A4007F" w:rsidRPr="006D4595">
            <w:rPr>
              <w:color w:val="000000" w:themeColor="text1"/>
              <w:szCs w:val="24"/>
            </w:rPr>
            <w:t>janë</w:t>
          </w:r>
          <w:r w:rsidR="00A4007F">
            <w:rPr>
              <w:color w:val="000000" w:themeColor="text1"/>
              <w:szCs w:val="24"/>
            </w:rPr>
            <w:t>:</w:t>
          </w:r>
          <w:r w:rsidR="00A4007F" w:rsidRPr="006D4595">
            <w:rPr>
              <w:color w:val="000000" w:themeColor="text1"/>
              <w:szCs w:val="24"/>
            </w:rPr>
            <w:t xml:space="preserve"> </w:t>
          </w:r>
          <w:r w:rsidR="00A4007F">
            <w:rPr>
              <w:color w:val="000000" w:themeColor="text1"/>
              <w:szCs w:val="24"/>
            </w:rPr>
            <w:t xml:space="preserve"> a) </w:t>
          </w:r>
          <w:r w:rsidR="00A4007F" w:rsidRPr="006D4595">
            <w:rPr>
              <w:color w:val="000000" w:themeColor="text1"/>
              <w:szCs w:val="24"/>
            </w:rPr>
            <w:t>të interesuarit për noter, kandidatët për noter, zëvendësnote</w:t>
          </w:r>
          <w:r w:rsidR="00A4007F">
            <w:rPr>
              <w:color w:val="000000" w:themeColor="text1"/>
              <w:szCs w:val="24"/>
            </w:rPr>
            <w:t>rët, noterët; b)</w:t>
          </w:r>
          <w:r w:rsidR="00A4007F" w:rsidRPr="006D4595">
            <w:rPr>
              <w:color w:val="000000" w:themeColor="text1"/>
              <w:szCs w:val="24"/>
            </w:rPr>
            <w:t>strukturat përgjegjëse pranë Ministrisë së Drejtësisë, Dhoma Kombëtare e Noterëve, Qendra Shqiptare e Trajnimit të Noterëve</w:t>
          </w:r>
          <w:r w:rsidR="00A4007F">
            <w:rPr>
              <w:color w:val="000000" w:themeColor="text1"/>
              <w:szCs w:val="24"/>
            </w:rPr>
            <w:t>;</w:t>
          </w:r>
          <w:r w:rsidR="00A4007F" w:rsidRPr="006D4595">
            <w:rPr>
              <w:color w:val="000000" w:themeColor="text1"/>
              <w:szCs w:val="24"/>
            </w:rPr>
            <w:t xml:space="preserve"> </w:t>
          </w:r>
          <w:r w:rsidR="00A4007F">
            <w:rPr>
              <w:color w:val="000000" w:themeColor="text1"/>
              <w:szCs w:val="24"/>
            </w:rPr>
            <w:t xml:space="preserve"> c) </w:t>
          </w:r>
          <w:r w:rsidR="00A4007F" w:rsidRPr="006D4595">
            <w:rPr>
              <w:color w:val="000000" w:themeColor="text1"/>
              <w:szCs w:val="24"/>
            </w:rPr>
            <w:t>Bordi Disiplinor</w:t>
          </w:r>
          <w:r w:rsidR="007F3AC0">
            <w:rPr>
              <w:color w:val="000000" w:themeColor="text1"/>
              <w:szCs w:val="24"/>
            </w:rPr>
            <w:t xml:space="preserve"> i Noterisë</w:t>
          </w:r>
          <w:r w:rsidR="00A4007F">
            <w:rPr>
              <w:color w:val="000000" w:themeColor="text1"/>
              <w:szCs w:val="24"/>
            </w:rPr>
            <w:t>;</w:t>
          </w:r>
          <w:r w:rsidR="00A4007F" w:rsidRPr="006D4595">
            <w:rPr>
              <w:color w:val="000000" w:themeColor="text1"/>
              <w:szCs w:val="24"/>
            </w:rPr>
            <w:t xml:space="preserve"> </w:t>
          </w:r>
          <w:r w:rsidR="00A4007F">
            <w:rPr>
              <w:color w:val="000000" w:themeColor="text1"/>
              <w:szCs w:val="24"/>
            </w:rPr>
            <w:t xml:space="preserve"> ç) </w:t>
          </w:r>
          <w:r w:rsidR="00A4007F" w:rsidRPr="006D4595">
            <w:rPr>
              <w:color w:val="000000" w:themeColor="text1"/>
              <w:szCs w:val="24"/>
            </w:rPr>
            <w:t>Drejtoria e Përgjithshme e Para</w:t>
          </w:r>
          <w:r w:rsidR="00A4007F">
            <w:rPr>
              <w:color w:val="000000" w:themeColor="text1"/>
              <w:szCs w:val="24"/>
            </w:rPr>
            <w:t>ndalimit të Pastrimit të Parave;</w:t>
          </w:r>
          <w:r w:rsidR="00A4007F" w:rsidRPr="006D4595">
            <w:rPr>
              <w:color w:val="000000" w:themeColor="text1"/>
              <w:szCs w:val="24"/>
            </w:rPr>
            <w:t xml:space="preserve"> </w:t>
          </w:r>
          <w:r w:rsidR="00A4007F">
            <w:rPr>
              <w:color w:val="000000" w:themeColor="text1"/>
              <w:szCs w:val="24"/>
            </w:rPr>
            <w:t xml:space="preserve"> d) </w:t>
          </w:r>
          <w:r w:rsidR="00A4007F" w:rsidRPr="006D4595">
            <w:rPr>
              <w:color w:val="000000" w:themeColor="text1"/>
              <w:szCs w:val="24"/>
            </w:rPr>
            <w:t xml:space="preserve">institucione të tjera </w:t>
          </w:r>
          <w:r w:rsidR="00A4007F">
            <w:rPr>
              <w:color w:val="000000" w:themeColor="text1"/>
              <w:szCs w:val="24"/>
            </w:rPr>
            <w:t>të përfshira si gjykata ose prokuroria dh) qeveria e) biznesi f) qytetarët</w:t>
          </w:r>
          <w:r w:rsidR="000F0E3F">
            <w:rPr>
              <w:color w:val="000000" w:themeColor="text1"/>
              <w:szCs w:val="24"/>
            </w:rPr>
            <w:t>.</w:t>
          </w:r>
          <w:r w:rsidR="00A4007F">
            <w:rPr>
              <w:color w:val="000000" w:themeColor="text1"/>
              <w:szCs w:val="24"/>
            </w:rPr>
            <w:t xml:space="preserve"> </w:t>
          </w:r>
          <w:r w:rsidR="00A4007F">
            <w:rPr>
              <w:color w:val="000000" w:themeColor="text1"/>
              <w:szCs w:val="24"/>
            </w:rPr>
            <w:br/>
          </w:r>
          <w:r w:rsidR="00A4007F">
            <w:rPr>
              <w:color w:val="000000" w:themeColor="text1"/>
              <w:szCs w:val="24"/>
            </w:rPr>
            <w:br/>
          </w:r>
          <w:r w:rsidR="00A4007F" w:rsidRPr="007B7002">
            <w:rPr>
              <w:color w:val="000000" w:themeColor="text1"/>
              <w:szCs w:val="24"/>
              <w:u w:val="single"/>
            </w:rPr>
            <w:t>Ndikimet e drejtëpërdrejta:</w:t>
          </w:r>
          <w:r w:rsidR="00A4007F" w:rsidRPr="00F8607A">
            <w:rPr>
              <w:color w:val="000000" w:themeColor="text1"/>
              <w:szCs w:val="24"/>
            </w:rPr>
            <w:t xml:space="preserve"> </w:t>
          </w:r>
          <w:r w:rsidR="00A4007F">
            <w:rPr>
              <w:color w:val="000000" w:themeColor="text1"/>
              <w:szCs w:val="24"/>
            </w:rPr>
            <w:t xml:space="preserve">Kjo ndërhyrje ka ndikim të drejtëpërdrejtë për </w:t>
          </w:r>
          <w:r w:rsidR="00A4007F" w:rsidRPr="00545D68">
            <w:rPr>
              <w:color w:val="000000" w:themeColor="text1"/>
              <w:szCs w:val="24"/>
            </w:rPr>
            <w:t xml:space="preserve">të interesuarit për noter, kandidatët për </w:t>
          </w:r>
          <w:r w:rsidR="00A4007F">
            <w:rPr>
              <w:color w:val="000000" w:themeColor="text1"/>
              <w:szCs w:val="24"/>
            </w:rPr>
            <w:t>noter, zëvendësnoterët, noterët, s</w:t>
          </w:r>
          <w:r w:rsidR="00A4007F" w:rsidRPr="00545D68">
            <w:rPr>
              <w:color w:val="000000" w:themeColor="text1"/>
              <w:szCs w:val="24"/>
            </w:rPr>
            <w:t>trukturat përgjegjëse pranë Ministrisë së Drejtësisë, Dhom</w:t>
          </w:r>
          <w:r w:rsidR="00A4007F">
            <w:rPr>
              <w:color w:val="000000" w:themeColor="text1"/>
              <w:szCs w:val="24"/>
            </w:rPr>
            <w:t>ën</w:t>
          </w:r>
          <w:r w:rsidR="00A4007F" w:rsidRPr="00545D68">
            <w:rPr>
              <w:color w:val="000000" w:themeColor="text1"/>
              <w:szCs w:val="24"/>
            </w:rPr>
            <w:t xml:space="preserve"> Kombëtare</w:t>
          </w:r>
          <w:r w:rsidR="00A4007F">
            <w:rPr>
              <w:color w:val="000000" w:themeColor="text1"/>
              <w:szCs w:val="24"/>
            </w:rPr>
            <w:t xml:space="preserve"> të</w:t>
          </w:r>
          <w:r w:rsidR="00A4007F" w:rsidRPr="00545D68">
            <w:rPr>
              <w:color w:val="000000" w:themeColor="text1"/>
              <w:szCs w:val="24"/>
            </w:rPr>
            <w:t xml:space="preserve"> Noterëve, Qendr</w:t>
          </w:r>
          <w:r w:rsidR="00A4007F">
            <w:rPr>
              <w:color w:val="000000" w:themeColor="text1"/>
              <w:szCs w:val="24"/>
            </w:rPr>
            <w:t>ën</w:t>
          </w:r>
          <w:r w:rsidR="00A4007F" w:rsidRPr="00545D68">
            <w:rPr>
              <w:color w:val="000000" w:themeColor="text1"/>
              <w:szCs w:val="24"/>
            </w:rPr>
            <w:t xml:space="preserve"> Shqiptare </w:t>
          </w:r>
          <w:r w:rsidR="00A4007F">
            <w:rPr>
              <w:color w:val="000000" w:themeColor="text1"/>
              <w:szCs w:val="24"/>
            </w:rPr>
            <w:t xml:space="preserve">të Trajnimit të Noterëve, </w:t>
          </w:r>
          <w:r w:rsidR="00A4007F" w:rsidRPr="00545D68">
            <w:rPr>
              <w:color w:val="000000" w:themeColor="text1"/>
              <w:szCs w:val="24"/>
            </w:rPr>
            <w:t>Bordi</w:t>
          </w:r>
          <w:r w:rsidR="00A4007F">
            <w:rPr>
              <w:color w:val="000000" w:themeColor="text1"/>
              <w:szCs w:val="24"/>
            </w:rPr>
            <w:t>n</w:t>
          </w:r>
          <w:r w:rsidR="00A4007F" w:rsidRPr="00545D68">
            <w:rPr>
              <w:color w:val="000000" w:themeColor="text1"/>
              <w:szCs w:val="24"/>
            </w:rPr>
            <w:t xml:space="preserve"> Disiplinor</w:t>
          </w:r>
          <w:r w:rsidR="007F3AC0">
            <w:rPr>
              <w:color w:val="000000" w:themeColor="text1"/>
              <w:szCs w:val="24"/>
            </w:rPr>
            <w:t xml:space="preserve"> të Noterisë</w:t>
          </w:r>
          <w:r w:rsidR="00A4007F">
            <w:rPr>
              <w:color w:val="000000" w:themeColor="text1"/>
              <w:szCs w:val="24"/>
            </w:rPr>
            <w:t xml:space="preserve">, dhe </w:t>
          </w:r>
          <w:r w:rsidR="00A4007F" w:rsidRPr="00545D68">
            <w:rPr>
              <w:color w:val="000000" w:themeColor="text1"/>
              <w:szCs w:val="24"/>
            </w:rPr>
            <w:t>Drejtori</w:t>
          </w:r>
          <w:r w:rsidR="00A4007F">
            <w:rPr>
              <w:color w:val="000000" w:themeColor="text1"/>
              <w:szCs w:val="24"/>
            </w:rPr>
            <w:t>në e Përgjithshme të</w:t>
          </w:r>
          <w:r w:rsidR="00A4007F" w:rsidRPr="00545D68">
            <w:rPr>
              <w:color w:val="000000" w:themeColor="text1"/>
              <w:szCs w:val="24"/>
            </w:rPr>
            <w:t xml:space="preserve"> Parandalimit të Pastrimit të Parave</w:t>
          </w:r>
          <w:r w:rsidR="00A4007F">
            <w:rPr>
              <w:color w:val="000000" w:themeColor="text1"/>
              <w:szCs w:val="24"/>
            </w:rPr>
            <w:t xml:space="preserve"> pasi kuadri ligjor i licencimit dhe ushtrimit të veprimtarisë noteriale</w:t>
          </w:r>
          <w:r w:rsidR="000F0E3F">
            <w:rPr>
              <w:color w:val="000000" w:themeColor="text1"/>
              <w:szCs w:val="24"/>
            </w:rPr>
            <w:t xml:space="preserve"> </w:t>
          </w:r>
          <w:r w:rsidR="000F0E3F">
            <w:rPr>
              <w:color w:val="000000" w:themeColor="text1"/>
              <w:szCs w:val="24"/>
            </w:rPr>
            <w:lastRenderedPageBreak/>
            <w:t>do të ndryshojë</w:t>
          </w:r>
          <w:r w:rsidR="00A4007F">
            <w:rPr>
              <w:color w:val="000000" w:themeColor="text1"/>
              <w:szCs w:val="24"/>
            </w:rPr>
            <w:t xml:space="preserve"> dhe përm</w:t>
          </w:r>
          <w:r w:rsidR="00C303A6">
            <w:rPr>
              <w:color w:val="000000" w:themeColor="text1"/>
              <w:szCs w:val="24"/>
            </w:rPr>
            <w:t>irësohet duke prezantuar kushte</w:t>
          </w:r>
          <w:r w:rsidR="00A4007F">
            <w:rPr>
              <w:color w:val="000000" w:themeColor="text1"/>
              <w:szCs w:val="24"/>
            </w:rPr>
            <w:t xml:space="preserve"> të forcu</w:t>
          </w:r>
          <w:r w:rsidR="007F3AC0">
            <w:rPr>
              <w:color w:val="000000" w:themeColor="text1"/>
              <w:szCs w:val="24"/>
            </w:rPr>
            <w:t>a</w:t>
          </w:r>
          <w:r w:rsidR="00A4007F">
            <w:rPr>
              <w:color w:val="000000" w:themeColor="text1"/>
              <w:szCs w:val="24"/>
            </w:rPr>
            <w:t>ra për licencimin</w:t>
          </w:r>
          <w:r w:rsidR="007F3AC0">
            <w:rPr>
              <w:color w:val="000000" w:themeColor="text1"/>
              <w:szCs w:val="24"/>
            </w:rPr>
            <w:t xml:space="preserve"> si mospërfshirja </w:t>
          </w:r>
          <w:r w:rsidR="007F3AC0" w:rsidRPr="000F567D">
            <w:rPr>
              <w:szCs w:val="24"/>
            </w:rPr>
            <w:t xml:space="preserve"> në listën e personave të shpallur </w:t>
          </w:r>
          <w:r w:rsidR="007F3AC0" w:rsidRPr="000F567D">
            <w:rPr>
              <w:color w:val="212121"/>
              <w:szCs w:val="24"/>
            </w:rPr>
            <w:t>sipas legjislacionit në fuqi për masat kundër financimit të terrorizmit</w:t>
          </w:r>
          <w:r w:rsidR="007F3AC0">
            <w:rPr>
              <w:color w:val="212121"/>
              <w:szCs w:val="24"/>
            </w:rPr>
            <w:t>, gëzimi i integritetit dhe besueshmërisë</w:t>
          </w:r>
          <w:r w:rsidR="00834912">
            <w:rPr>
              <w:color w:val="212121"/>
              <w:szCs w:val="24"/>
            </w:rPr>
            <w:t>,</w:t>
          </w:r>
          <w:r w:rsidR="00A4007F">
            <w:rPr>
              <w:color w:val="000000" w:themeColor="text1"/>
              <w:szCs w:val="24"/>
            </w:rPr>
            <w:t xml:space="preserve"> si dhe shtim të rasteve për pezullim apo heqje të licencës në rastet kur zëvendësnoterët dhe noterët kryejnë vepra penale apo shkelje të dispozitave të legjislacionit mbi parandalimin e pastrimit të parave dhe financimit të terrorizmit, të provuara nga DPPPP-ja. Kështu </w:t>
          </w:r>
          <w:r w:rsidR="00A4007F" w:rsidRPr="00545D68">
            <w:rPr>
              <w:color w:val="000000" w:themeColor="text1"/>
              <w:szCs w:val="24"/>
            </w:rPr>
            <w:t xml:space="preserve">të interesuarit për noter, kandidatët për </w:t>
          </w:r>
          <w:r w:rsidR="000F0E3F">
            <w:rPr>
              <w:color w:val="000000" w:themeColor="text1"/>
              <w:szCs w:val="24"/>
            </w:rPr>
            <w:t>noter, zëvendësnoterët e</w:t>
          </w:r>
          <w:r w:rsidR="00A4007F">
            <w:rPr>
              <w:color w:val="000000" w:themeColor="text1"/>
              <w:szCs w:val="24"/>
            </w:rPr>
            <w:t xml:space="preserve"> noterët duhet të plotësojnë kushtin se nuk janë të lidhur me elementë kriminalë përpara licencimit dhe gjatë ushtrimit të veprimtarisë, i cili më pas do të verifikohet nga Ministria e Drejtësisë. Ndërkohë në rastet e shkeljes së ligjit, do të m</w:t>
          </w:r>
          <w:r w:rsidR="00834912">
            <w:rPr>
              <w:color w:val="000000" w:themeColor="text1"/>
              <w:szCs w:val="24"/>
            </w:rPr>
            <w:t>e</w:t>
          </w:r>
          <w:r w:rsidR="00A4007F">
            <w:rPr>
              <w:color w:val="000000" w:themeColor="text1"/>
              <w:szCs w:val="24"/>
            </w:rPr>
            <w:t>rr</w:t>
          </w:r>
          <w:r w:rsidR="00834912">
            <w:rPr>
              <w:color w:val="000000" w:themeColor="text1"/>
              <w:szCs w:val="24"/>
            </w:rPr>
            <w:t>en</w:t>
          </w:r>
          <w:r w:rsidR="00A4007F">
            <w:rPr>
              <w:color w:val="000000" w:themeColor="text1"/>
              <w:szCs w:val="24"/>
            </w:rPr>
            <w:t xml:space="preserve"> masa për përjashtimin nga profesioni të subjekteve që shkelin ligjin. Drejtoria e Përgjithshme e Parandalimit të Pastrimit të Parave do të jetë përgjegjëse për referimin e rasteve të hetuara prej saj për marrjen e masave përkatëse nga ana e Ministrisë së Drejtësisë dhe Bordit Disiplinor. Gjithashtu, integriteti profesional do të rritet për shkak se radhët e noterëve do të pastrohen nga elementët e papërshtatshëm dhe do të parandalohet futja e tyre në këtë profesion.  </w:t>
          </w:r>
          <w:r w:rsidR="00A4007F">
            <w:rPr>
              <w:color w:val="000000" w:themeColor="text1"/>
              <w:szCs w:val="24"/>
            </w:rPr>
            <w:br/>
          </w:r>
          <w:r w:rsidR="00A4007F">
            <w:rPr>
              <w:color w:val="000000" w:themeColor="text1"/>
              <w:szCs w:val="24"/>
            </w:rPr>
            <w:br/>
            <w:t xml:space="preserve">Ndërhyrja ka efekt të drejtëpërdrejtë edhe tek qeveria, biznesi dhe qytetarët të cilët do të marrin një shërbim noterial më cilësor nga persona me integritet të lartë që ushtrojnë veprimtarinë e tyre në zbatim të legjislacionit.  </w:t>
          </w:r>
          <w:r w:rsidR="00A4007F">
            <w:rPr>
              <w:color w:val="000000" w:themeColor="text1"/>
              <w:szCs w:val="24"/>
            </w:rPr>
            <w:br/>
          </w:r>
          <w:r w:rsidR="00A4007F">
            <w:rPr>
              <w:color w:val="000000" w:themeColor="text1"/>
              <w:szCs w:val="24"/>
            </w:rPr>
            <w:br/>
            <w:t>Parashikimi i</w:t>
          </w:r>
          <w:r w:rsidR="00A4007F" w:rsidRPr="007B7002">
            <w:rPr>
              <w:color w:val="000000" w:themeColor="text1"/>
              <w:szCs w:val="24"/>
            </w:rPr>
            <w:t xml:space="preserve"> masave të efekteshme për të parandaluar depërtimin e elementëve kriminalë dhe për të adresuar praktikat e pastrimit të parave prek veprimtarinë e qeverisë në disa drejtime</w:t>
          </w:r>
          <w:r w:rsidR="00A4007F">
            <w:rPr>
              <w:color w:val="000000" w:themeColor="text1"/>
              <w:szCs w:val="24"/>
            </w:rPr>
            <w:t xml:space="preserve"> duke</w:t>
          </w:r>
          <w:r w:rsidR="007E0447">
            <w:rPr>
              <w:color w:val="000000" w:themeColor="text1"/>
              <w:szCs w:val="24"/>
            </w:rPr>
            <w:t xml:space="preserve"> minimizuar e</w:t>
          </w:r>
          <w:r w:rsidR="00A4007F">
            <w:rPr>
              <w:color w:val="000000" w:themeColor="text1"/>
              <w:szCs w:val="24"/>
            </w:rPr>
            <w:t xml:space="preserve"> eleminuar rastet e paraqitjes së dokumenteve të parregullta të hartuara nga noteri të cilat ndikojnë në procedurat administrative që realizojnë organet publike. Gjithashtu, kjo ndërhyrje ndikon në rezultatet e qeverisë në luftën ndaj fenomeneve të sipërcituara si dhe në përmbushjen e detyrimeve ndërkombëtare për nxjerrjen e vendit nga “lista gri”</w:t>
          </w:r>
          <w:r w:rsidR="00A4007F" w:rsidRPr="007B7002">
            <w:rPr>
              <w:color w:val="000000" w:themeColor="text1"/>
              <w:szCs w:val="24"/>
            </w:rPr>
            <w:t>.</w:t>
          </w:r>
          <w:r w:rsidR="00A4007F">
            <w:rPr>
              <w:color w:val="000000" w:themeColor="text1"/>
              <w:szCs w:val="24"/>
            </w:rPr>
            <w:t xml:space="preserve"> </w:t>
          </w:r>
          <w:r w:rsidR="00A4007F">
            <w:rPr>
              <w:color w:val="000000" w:themeColor="text1"/>
              <w:szCs w:val="24"/>
            </w:rPr>
            <w:br/>
          </w:r>
          <w:r w:rsidR="00A4007F">
            <w:rPr>
              <w:color w:val="000000" w:themeColor="text1"/>
              <w:szCs w:val="24"/>
            </w:rPr>
            <w:br/>
          </w:r>
          <w:r w:rsidR="00A4007F" w:rsidRPr="007B7002">
            <w:rPr>
              <w:color w:val="000000" w:themeColor="text1"/>
              <w:szCs w:val="24"/>
              <w:u w:val="single"/>
            </w:rPr>
            <w:t>Ndikimet jo të drejtëpërdrejta</w:t>
          </w:r>
          <w:r w:rsidR="00F3083D">
            <w:rPr>
              <w:color w:val="000000" w:themeColor="text1"/>
              <w:szCs w:val="24"/>
              <w:u w:val="single"/>
            </w:rPr>
            <w:t>:</w:t>
          </w:r>
          <w:r w:rsidR="00F3083D">
            <w:rPr>
              <w:color w:val="000000" w:themeColor="text1"/>
              <w:szCs w:val="24"/>
            </w:rPr>
            <w:t xml:space="preserve"> </w:t>
          </w:r>
          <w:r w:rsidR="00A4007F">
            <w:rPr>
              <w:color w:val="000000" w:themeColor="text1"/>
              <w:szCs w:val="24"/>
            </w:rPr>
            <w:t>Ky</w:t>
          </w:r>
          <w:r w:rsidR="00A4007F" w:rsidRPr="006D4595">
            <w:rPr>
              <w:color w:val="000000" w:themeColor="text1"/>
              <w:szCs w:val="24"/>
            </w:rPr>
            <w:t xml:space="preserve"> opsion ka</w:t>
          </w:r>
          <w:r w:rsidR="00A4007F">
            <w:rPr>
              <w:color w:val="000000" w:themeColor="text1"/>
              <w:szCs w:val="24"/>
            </w:rPr>
            <w:t xml:space="preserve"> edhe</w:t>
          </w:r>
          <w:r w:rsidR="00A4007F" w:rsidRPr="006D4595">
            <w:rPr>
              <w:color w:val="000000" w:themeColor="text1"/>
              <w:szCs w:val="24"/>
            </w:rPr>
            <w:t xml:space="preserve"> ndikim</w:t>
          </w:r>
          <w:r w:rsidR="00A4007F">
            <w:rPr>
              <w:color w:val="000000" w:themeColor="text1"/>
              <w:szCs w:val="24"/>
            </w:rPr>
            <w:t>e</w:t>
          </w:r>
          <w:r w:rsidR="00A4007F" w:rsidRPr="006D4595">
            <w:rPr>
              <w:color w:val="000000" w:themeColor="text1"/>
              <w:szCs w:val="24"/>
            </w:rPr>
            <w:t xml:space="preserve"> jo të drejtëpërdrejt</w:t>
          </w:r>
          <w:r w:rsidR="00834912">
            <w:rPr>
              <w:color w:val="000000" w:themeColor="text1"/>
              <w:szCs w:val="24"/>
            </w:rPr>
            <w:t>a</w:t>
          </w:r>
          <w:r w:rsidR="00A4007F" w:rsidRPr="006D4595">
            <w:rPr>
              <w:color w:val="000000" w:themeColor="text1"/>
              <w:szCs w:val="24"/>
            </w:rPr>
            <w:t xml:space="preserve"> në garantimin e një tregu të lirë dhe të ndershë</w:t>
          </w:r>
          <w:r w:rsidR="00A4007F">
            <w:rPr>
              <w:color w:val="000000" w:themeColor="text1"/>
              <w:szCs w:val="24"/>
            </w:rPr>
            <w:t>m, forcimin e konkurrencës</w:t>
          </w:r>
          <w:r w:rsidR="00A4007F" w:rsidRPr="006D4595">
            <w:rPr>
              <w:color w:val="000000" w:themeColor="text1"/>
              <w:szCs w:val="24"/>
            </w:rPr>
            <w:t xml:space="preserve">, </w:t>
          </w:r>
          <w:r w:rsidR="00DE1A81">
            <w:rPr>
              <w:color w:val="000000" w:themeColor="text1"/>
              <w:szCs w:val="24"/>
            </w:rPr>
            <w:t xml:space="preserve">si dhe </w:t>
          </w:r>
          <w:r w:rsidR="00A4007F" w:rsidRPr="006D4595">
            <w:rPr>
              <w:color w:val="000000" w:themeColor="text1"/>
              <w:szCs w:val="24"/>
            </w:rPr>
            <w:t>përmirësim</w:t>
          </w:r>
          <w:r w:rsidR="00A4007F">
            <w:rPr>
              <w:color w:val="000000" w:themeColor="text1"/>
              <w:szCs w:val="24"/>
            </w:rPr>
            <w:t xml:space="preserve">in e klimës së biznesit.  </w:t>
          </w:r>
          <w:r w:rsidR="00A4007F">
            <w:rPr>
              <w:color w:val="000000" w:themeColor="text1"/>
              <w:szCs w:val="24"/>
            </w:rPr>
            <w:br/>
          </w:r>
          <w:r w:rsidR="00A4007F">
            <w:rPr>
              <w:color w:val="000000" w:themeColor="text1"/>
              <w:szCs w:val="24"/>
            </w:rPr>
            <w:br/>
            <w:t>Ndërhyrja ka ndikim jo të drejtëpërdrejtë pozitiv mbi konkurrencën sepse sigurohet zbatimi i ligjit në mënyrë të njëllojtë nga të gjithë noterët</w:t>
          </w:r>
          <w:r w:rsidR="00DE1A81">
            <w:rPr>
              <w:color w:val="000000" w:themeColor="text1"/>
              <w:szCs w:val="24"/>
            </w:rPr>
            <w:t>. P</w:t>
          </w:r>
          <w:r w:rsidR="00A4007F">
            <w:rPr>
              <w:color w:val="000000" w:themeColor="text1"/>
              <w:szCs w:val="24"/>
            </w:rPr>
            <w:t>arashikimi i filtrave për hyrjen në profesion dhe marrja e masave ndëshkuese do t’i nxisë zëvendësnoterët dhe noterët të mos përfshihen në praktika të jashtëligjshme që</w:t>
          </w:r>
          <w:r w:rsidR="002661FB">
            <w:rPr>
              <w:color w:val="000000" w:themeColor="text1"/>
              <w:szCs w:val="24"/>
            </w:rPr>
            <w:t xml:space="preserve"> mund t’</w:t>
          </w:r>
          <w:r w:rsidR="00A4007F">
            <w:rPr>
              <w:color w:val="000000" w:themeColor="text1"/>
              <w:szCs w:val="24"/>
            </w:rPr>
            <w:t xml:space="preserve">i garantojnë atyre fitim të shtuar në mënyrë të padrejtë. Gjithashtu, përmes këtyre ndryshimeve edhe komuniteti i biznesit përfiton për shkak se sigurohet barazi në veprimtarinë dhe tregun ekonomik duke qenë se zëvendësnoterët dhe noterët nuk do të pranojnë të hartojnë akte dhe kontrata të cilat kanë për qëllim pastrimin e parave. Këto veprime sjellin të ardhura shtesë të cilat edhe pse të jashtëligjshme nëse pastrohen dhe futen në qarkullimin ekonomik ndikojnë në deformimin e tregut dhe cenojnë konkurrencën e ndershme për shkak se një grup i caktuar aktorësh zotërojnë dhe hedhin në treg një sasi të konsiderueshme parash me burim të jashtëligjshëm.  </w:t>
          </w:r>
          <w:r w:rsidR="00A4007F">
            <w:rPr>
              <w:color w:val="000000" w:themeColor="text1"/>
              <w:szCs w:val="24"/>
            </w:rPr>
            <w:br/>
          </w:r>
          <w:r w:rsidR="00A4007F">
            <w:rPr>
              <w:color w:val="000000" w:themeColor="text1"/>
              <w:szCs w:val="24"/>
            </w:rPr>
            <w:br/>
            <w:t>Gjithashtu, kjo ndërhyrje do të sjellë përfitime edhe në kuadër të investimeve të huaja pasi nxjerrja e vendit nga “lista gri” do t’i nxisë i</w:t>
          </w:r>
          <w:r w:rsidR="00F3083D">
            <w:rPr>
              <w:color w:val="000000" w:themeColor="text1"/>
              <w:szCs w:val="24"/>
            </w:rPr>
            <w:t xml:space="preserve">nvestitorët e huaj, që më parë mund të jenë </w:t>
          </w:r>
          <w:r w:rsidR="00A4007F">
            <w:rPr>
              <w:color w:val="000000" w:themeColor="text1"/>
              <w:szCs w:val="24"/>
            </w:rPr>
            <w:t xml:space="preserve">stepur për shkak të kësaj problematike, që të investojnë në Shqipëri. </w:t>
          </w:r>
          <w:r w:rsidR="00A4007F">
            <w:rPr>
              <w:color w:val="000000" w:themeColor="text1"/>
              <w:szCs w:val="24"/>
            </w:rPr>
            <w:br/>
          </w:r>
          <w:r w:rsidR="00A4007F">
            <w:rPr>
              <w:color w:val="000000" w:themeColor="text1"/>
              <w:szCs w:val="24"/>
            </w:rPr>
            <w:br/>
            <w:t>Ndikimi jo i drejtëpërdrejtë është edhe social pasi rritja e standardeve për ushtrimin e profesionit, futja e filtrave për kontrollin e integritetit të zëvendësnoterëve dhe noterëve, si dhe ndëshkimi me masa efektive i atyre subjekteve që përfshihen në vepra penale apo praktika të pastrimit të parave rrisin ndikojnë në parandalimin dhe uljen e krim</w:t>
          </w:r>
          <w:r w:rsidR="00F3083D">
            <w:rPr>
              <w:color w:val="000000" w:themeColor="text1"/>
              <w:szCs w:val="24"/>
            </w:rPr>
            <w:t>inalitetit</w:t>
          </w:r>
          <w:r w:rsidR="002661FB">
            <w:rPr>
              <w:color w:val="000000" w:themeColor="text1"/>
              <w:szCs w:val="24"/>
            </w:rPr>
            <w:t>.</w:t>
          </w:r>
          <w:r w:rsidR="00A4007F">
            <w:rPr>
              <w:color w:val="000000" w:themeColor="text1"/>
              <w:szCs w:val="24"/>
            </w:rPr>
            <w:t xml:space="preserve"> </w:t>
          </w:r>
          <w:r w:rsidR="00A4007F">
            <w:rPr>
              <w:color w:val="000000" w:themeColor="text1"/>
              <w:szCs w:val="24"/>
            </w:rPr>
            <w:br/>
          </w:r>
          <w:r w:rsidR="00F3083D">
            <w:rPr>
              <w:color w:val="000000" w:themeColor="text1"/>
              <w:szCs w:val="24"/>
            </w:rPr>
            <w:br/>
          </w:r>
          <w:r w:rsidR="00A4007F">
            <w:rPr>
              <w:color w:val="000000" w:themeColor="text1"/>
              <w:szCs w:val="24"/>
            </w:rPr>
            <w:t>K</w:t>
          </w:r>
          <w:r w:rsidR="00A4007F" w:rsidRPr="00B35593">
            <w:rPr>
              <w:color w:val="000000" w:themeColor="text1"/>
              <w:szCs w:val="24"/>
            </w:rPr>
            <w:t>ufizim</w:t>
          </w:r>
          <w:r w:rsidR="00A4007F">
            <w:rPr>
              <w:color w:val="000000" w:themeColor="text1"/>
              <w:szCs w:val="24"/>
            </w:rPr>
            <w:t>et</w:t>
          </w:r>
          <w:r w:rsidR="00A4007F" w:rsidRPr="00B35593">
            <w:rPr>
              <w:color w:val="000000" w:themeColor="text1"/>
              <w:szCs w:val="24"/>
            </w:rPr>
            <w:t xml:space="preserve"> e analizës:</w:t>
          </w:r>
          <w:r w:rsidR="00A4007F">
            <w:rPr>
              <w:color w:val="000000" w:themeColor="text1"/>
              <w:szCs w:val="24"/>
            </w:rPr>
            <w:t xml:space="preserve"> M</w:t>
          </w:r>
          <w:r w:rsidR="00A4007F" w:rsidRPr="00B35593">
            <w:rPr>
              <w:color w:val="000000" w:themeColor="text1"/>
              <w:szCs w:val="24"/>
            </w:rPr>
            <w:t>und të pengo</w:t>
          </w:r>
          <w:r w:rsidR="00A4007F">
            <w:rPr>
              <w:color w:val="000000" w:themeColor="text1"/>
              <w:szCs w:val="24"/>
            </w:rPr>
            <w:t>n</w:t>
          </w:r>
          <w:r w:rsidR="00A4007F" w:rsidRPr="00B35593">
            <w:rPr>
              <w:color w:val="000000" w:themeColor="text1"/>
              <w:szCs w:val="24"/>
            </w:rPr>
            <w:t>jë realizimin e përfitimeve, të rrisë kostot ose të sjellë pasoja të papritura</w:t>
          </w:r>
          <w:r w:rsidR="00A4007F">
            <w:rPr>
              <w:color w:val="000000" w:themeColor="text1"/>
              <w:szCs w:val="24"/>
            </w:rPr>
            <w:t xml:space="preserve">: </w:t>
          </w:r>
          <w:r w:rsidR="00A4007F">
            <w:rPr>
              <w:color w:val="000000" w:themeColor="text1"/>
              <w:szCs w:val="24"/>
            </w:rPr>
            <w:br/>
            <w:t xml:space="preserve">- verifikimi jo i plotë i kritereve që lidhen me integritetin profesional të subjekteve; </w:t>
          </w:r>
          <w:r w:rsidR="00A4007F">
            <w:rPr>
              <w:color w:val="000000" w:themeColor="text1"/>
              <w:szCs w:val="24"/>
            </w:rPr>
            <w:br/>
            <w:t xml:space="preserve">- mungesa e kapaciteteve njerëzore për kryerjen e këtyre verifikimeve; </w:t>
          </w:r>
          <w:r w:rsidR="00A4007F">
            <w:rPr>
              <w:color w:val="000000" w:themeColor="text1"/>
              <w:szCs w:val="24"/>
            </w:rPr>
            <w:br/>
            <w:t xml:space="preserve">- vlerësimi </w:t>
          </w:r>
          <w:r w:rsidR="002661FB">
            <w:rPr>
              <w:color w:val="000000" w:themeColor="text1"/>
              <w:szCs w:val="24"/>
            </w:rPr>
            <w:t>jo</w:t>
          </w:r>
          <w:r w:rsidR="00A4007F">
            <w:rPr>
              <w:color w:val="000000" w:themeColor="text1"/>
              <w:szCs w:val="24"/>
            </w:rPr>
            <w:t xml:space="preserve">korrekt i kërkesave për pezullim ose heqje të licencës. </w:t>
          </w:r>
          <w:r w:rsidR="00A4007F">
            <w:rPr>
              <w:color w:val="000000" w:themeColor="text1"/>
              <w:szCs w:val="24"/>
            </w:rPr>
            <w:br/>
          </w:r>
          <w:r w:rsidR="00A4007F">
            <w:rPr>
              <w:color w:val="000000" w:themeColor="text1"/>
              <w:szCs w:val="24"/>
            </w:rPr>
            <w:br/>
          </w:r>
          <w:r w:rsidR="00A4007F" w:rsidRPr="006D4595">
            <w:rPr>
              <w:color w:val="000000" w:themeColor="text1"/>
              <w:szCs w:val="24"/>
            </w:rPr>
            <w:lastRenderedPageBreak/>
            <w:t>K</w:t>
          </w:r>
          <w:r w:rsidR="00A4007F">
            <w:rPr>
              <w:color w:val="000000" w:themeColor="text1"/>
              <w:szCs w:val="24"/>
            </w:rPr>
            <w:t xml:space="preserve">jo ndërhyrje </w:t>
          </w:r>
          <w:r w:rsidR="00A4007F" w:rsidRPr="006D4595">
            <w:rPr>
              <w:color w:val="000000" w:themeColor="text1"/>
              <w:szCs w:val="24"/>
            </w:rPr>
            <w:t>nuk ka ndikim me vlerë monetare të përcaktuar mbi buxhetin e shtetit, pasi</w:t>
          </w:r>
          <w:r w:rsidR="004B2989">
            <w:rPr>
              <w:color w:val="000000" w:themeColor="text1"/>
              <w:szCs w:val="24"/>
            </w:rPr>
            <w:t xml:space="preserve"> nuk parashikohet që</w:t>
          </w:r>
          <w:r w:rsidR="00A4007F" w:rsidRPr="006D4595">
            <w:rPr>
              <w:color w:val="000000" w:themeColor="text1"/>
              <w:szCs w:val="24"/>
            </w:rPr>
            <w:t xml:space="preserve"> ndryshimet ligjore </w:t>
          </w:r>
          <w:r w:rsidR="004B2989">
            <w:rPr>
              <w:color w:val="000000" w:themeColor="text1"/>
              <w:szCs w:val="24"/>
            </w:rPr>
            <w:t xml:space="preserve">të </w:t>
          </w:r>
          <w:r w:rsidR="00A4007F" w:rsidRPr="006D4595">
            <w:rPr>
              <w:color w:val="000000" w:themeColor="text1"/>
              <w:szCs w:val="24"/>
            </w:rPr>
            <w:t>paraqesin kosto shtesë</w:t>
          </w:r>
          <w:r w:rsidR="00A4007F">
            <w:rPr>
              <w:color w:val="000000" w:themeColor="text1"/>
              <w:szCs w:val="24"/>
            </w:rPr>
            <w:t>.</w:t>
          </w:r>
          <w:r w:rsidR="004B2989" w:rsidRPr="003C433C">
            <w:rPr>
              <w:color w:val="000000" w:themeColor="text1"/>
              <w:szCs w:val="24"/>
            </w:rPr>
            <w:t xml:space="preserve"> Për zbatimin e  tyre nuk parashikohet të shtohen burime njerëzore pasi </w:t>
          </w:r>
          <w:r w:rsidR="00066F83" w:rsidRPr="003C433C">
            <w:rPr>
              <w:color w:val="000000" w:themeColor="text1"/>
              <w:szCs w:val="24"/>
            </w:rPr>
            <w:t>në Raportin e Vlerësimit të Ndikimit për p</w:t>
          </w:r>
          <w:r w:rsidR="00A85060" w:rsidRPr="003C433C">
            <w:rPr>
              <w:color w:val="000000" w:themeColor="text1"/>
            </w:rPr>
            <w:t>rojektligji</w:t>
          </w:r>
          <w:r w:rsidR="00066F83" w:rsidRPr="003C433C">
            <w:rPr>
              <w:color w:val="000000" w:themeColor="text1"/>
            </w:rPr>
            <w:t>n</w:t>
          </w:r>
          <w:r w:rsidR="00A85060" w:rsidRPr="003C433C">
            <w:rPr>
              <w:color w:val="000000" w:themeColor="text1"/>
            </w:rPr>
            <w:t xml:space="preserve"> “Për ndërmjetësit e pasurive të paluajtshme”</w:t>
          </w:r>
          <w:r w:rsidR="00066F83" w:rsidRPr="003C433C">
            <w:rPr>
              <w:color w:val="000000" w:themeColor="text1"/>
            </w:rPr>
            <w:t xml:space="preserve"> është parashikuar shtimi i specialistëve në strukturën përkatëse për profesionet e lira</w:t>
          </w:r>
          <w:r w:rsidR="004B2989" w:rsidRPr="003C433C">
            <w:rPr>
              <w:color w:val="000000" w:themeColor="text1"/>
            </w:rPr>
            <w:t>. Këta specialistë krahas punës për zbatimin e rregullave të përcaktuar në projektligjin për “Për ndërmjetësit e pasurive të paluajtshme” do të angazhohen edhe me profesionet e tjera të lira, përfshi këtu edhe noterinë</w:t>
          </w:r>
        </w:sdtContent>
      </w:sdt>
      <w:r w:rsidR="00563378" w:rsidRPr="003C433C">
        <w:rPr>
          <w:rFonts w:eastAsiaTheme="majorEastAsia"/>
          <w:color w:val="000000" w:themeColor="text1"/>
        </w:rPr>
        <w:t>.</w:t>
      </w:r>
      <w:r w:rsidR="004B2989" w:rsidRPr="003C433C">
        <w:rPr>
          <w:rFonts w:eastAsiaTheme="majorEastAsia"/>
          <w:color w:val="000000" w:themeColor="text1"/>
        </w:rPr>
        <w:t xml:space="preserve"> Ndërkohë nëpunësit e kësaj strukture kanë ndjekur trajnime të organizuara nga partnerë ndërkombëtarë  në lidhje me fushën e parandalimit të pastrimit të parave (p.sh. GIZ ka ofruar trajnime gjatë periudhës Tetor – Nëntor 2020) duke plotësuar kështu edhe nevojën për rritjen e kapaciteteve profesionale të tyre ato. Sa i përket</w:t>
      </w:r>
      <w:r w:rsidR="009A310D" w:rsidRPr="003C433C">
        <w:rPr>
          <w:rFonts w:eastAsiaTheme="majorEastAsia"/>
          <w:color w:val="000000" w:themeColor="text1"/>
        </w:rPr>
        <w:t xml:space="preserve"> rritjes së bashkëpunimit me institucione të tjera dhe të</w:t>
      </w:r>
      <w:r w:rsidR="004B2989" w:rsidRPr="003C433C">
        <w:rPr>
          <w:rFonts w:eastAsiaTheme="majorEastAsia"/>
          <w:color w:val="000000" w:themeColor="text1"/>
        </w:rPr>
        <w:t xml:space="preserve"> kapaciteteve profesionale të</w:t>
      </w:r>
      <w:r w:rsidR="009A310D" w:rsidRPr="003C433C">
        <w:rPr>
          <w:rFonts w:eastAsiaTheme="majorEastAsia"/>
          <w:color w:val="000000" w:themeColor="text1"/>
        </w:rPr>
        <w:t xml:space="preserve"> tyre nuk parashikohen kosto, për shkak se përfshirja e tyre në proces do të jetë brenda kuadrit të veprimtarisë normale të punës së tyre.</w:t>
      </w:r>
      <w:r w:rsidR="004B2989" w:rsidRPr="003C433C">
        <w:rPr>
          <w:rFonts w:eastAsiaTheme="majorEastAsia"/>
          <w:color w:val="000000" w:themeColor="text1"/>
        </w:rPr>
        <w:t xml:space="preserve"> </w:t>
      </w:r>
    </w:p>
    <w:p w14:paraId="379BB2CE" w14:textId="77777777" w:rsidR="002125B7"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Arsyetimi i opsionit të preferuar</w:t>
      </w:r>
    </w:p>
    <w:sdt>
      <w:sdtPr>
        <w:rPr>
          <w:rFonts w:ascii="Times New Roman" w:hAnsi="Times New Roman"/>
          <w:i/>
          <w:sz w:val="24"/>
          <w:szCs w:val="24"/>
          <w:lang w:val="sq-AL"/>
        </w:rPr>
        <w:id w:val="-1317640879"/>
        <w:lock w:val="contentLocked"/>
        <w:placeholder>
          <w:docPart w:val="DefaultPlaceholder_1081868574"/>
        </w:placeholder>
      </w:sdtPr>
      <w:sdtEndPr/>
      <w:sdtContent>
        <w:p w14:paraId="0F57971F" w14:textId="6FD2F48E" w:rsidR="0097570D" w:rsidRPr="0032145B" w:rsidRDefault="0097570D" w:rsidP="009D13F4">
          <w:pPr>
            <w:pStyle w:val="ListParagraph"/>
            <w:numPr>
              <w:ilvl w:val="0"/>
              <w:numId w:val="29"/>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Zgjidhni opsionin e preferuar</w:t>
          </w:r>
          <w:r w:rsidR="00372979">
            <w:rPr>
              <w:rFonts w:ascii="Times New Roman" w:hAnsi="Times New Roman"/>
              <w:i/>
              <w:sz w:val="24"/>
              <w:szCs w:val="24"/>
              <w:lang w:val="sq-AL"/>
            </w:rPr>
            <w:t>,</w:t>
          </w:r>
          <w:r w:rsidRPr="0032145B">
            <w:rPr>
              <w:rFonts w:ascii="Times New Roman" w:hAnsi="Times New Roman"/>
              <w:i/>
              <w:sz w:val="24"/>
              <w:szCs w:val="24"/>
              <w:lang w:val="sq-AL"/>
            </w:rPr>
            <w:t xml:space="preserve"> bazuar në analizë. </w:t>
          </w:r>
        </w:p>
        <w:p w14:paraId="1FD60097" w14:textId="2731FE80" w:rsidR="002125B7" w:rsidRPr="0032145B" w:rsidRDefault="0097570D" w:rsidP="009D13F4">
          <w:pPr>
            <w:pStyle w:val="ListParagraph"/>
            <w:numPr>
              <w:ilvl w:val="0"/>
              <w:numId w:val="29"/>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Shpjegoni arsyetimin tuaj.</w:t>
          </w:r>
        </w:p>
      </w:sdtContent>
    </w:sdt>
    <w:bookmarkStart w:id="15" w:name="_Toc506919739" w:displacedByCustomXml="prev"/>
    <w:p w14:paraId="7B6723E5" w14:textId="72612D43" w:rsidR="005C59CE" w:rsidRDefault="00F3083D" w:rsidP="00A928C9">
      <w:pPr>
        <w:spacing w:before="240"/>
        <w:jc w:val="both"/>
        <w:rPr>
          <w:rFonts w:eastAsiaTheme="majorEastAsia"/>
          <w:color w:val="808080" w:themeColor="background1" w:themeShade="80"/>
        </w:rPr>
      </w:pPr>
      <w:r>
        <w:rPr>
          <w:color w:val="000000" w:themeColor="text1"/>
        </w:rPr>
        <w:t>Hartimi i</w:t>
      </w:r>
      <w:r w:rsidR="00A4007F">
        <w:rPr>
          <w:color w:val="000000" w:themeColor="text1"/>
        </w:rPr>
        <w:t xml:space="preserve"> </w:t>
      </w:r>
      <w:r w:rsidR="00A4007F">
        <w:rPr>
          <w:szCs w:val="24"/>
        </w:rPr>
        <w:t>p</w:t>
      </w:r>
      <w:r w:rsidR="00A4007F" w:rsidRPr="00325A1F">
        <w:rPr>
          <w:szCs w:val="24"/>
        </w:rPr>
        <w:t>rojek</w:t>
      </w:r>
      <w:r w:rsidR="00A4007F">
        <w:rPr>
          <w:szCs w:val="24"/>
        </w:rPr>
        <w:t>tligji</w:t>
      </w:r>
      <w:r>
        <w:rPr>
          <w:szCs w:val="24"/>
        </w:rPr>
        <w:t>t</w:t>
      </w:r>
      <w:r w:rsidR="00A4007F" w:rsidRPr="00325A1F">
        <w:rPr>
          <w:szCs w:val="24"/>
        </w:rPr>
        <w:t xml:space="preserve"> </w:t>
      </w:r>
      <w:r w:rsidR="00A4007F">
        <w:rPr>
          <w:szCs w:val="24"/>
        </w:rPr>
        <w:t>“Për</w:t>
      </w:r>
      <w:r w:rsidR="00A4007F" w:rsidRPr="00325A1F">
        <w:rPr>
          <w:szCs w:val="24"/>
        </w:rPr>
        <w:fldChar w:fldCharType="begin">
          <w:ffData>
            <w:name w:val=""/>
            <w:enabled/>
            <w:calcOnExit w:val="0"/>
            <w:textInput>
              <w:default w:val="..."/>
              <w:maxLength w:val="50"/>
            </w:textInput>
          </w:ffData>
        </w:fldChar>
      </w:r>
      <w:r w:rsidR="00A4007F" w:rsidRPr="00325A1F">
        <w:rPr>
          <w:szCs w:val="24"/>
        </w:rPr>
        <w:instrText xml:space="preserve"> FORMTEXT </w:instrText>
      </w:r>
      <w:r w:rsidR="00A4007F" w:rsidRPr="00325A1F">
        <w:rPr>
          <w:szCs w:val="24"/>
        </w:rPr>
      </w:r>
      <w:r w:rsidR="00A4007F" w:rsidRPr="00325A1F">
        <w:rPr>
          <w:szCs w:val="24"/>
        </w:rPr>
        <w:fldChar w:fldCharType="separate"/>
      </w:r>
      <w:r w:rsidR="00A4007F">
        <w:t xml:space="preserve"> </w:t>
      </w:r>
      <w:r w:rsidR="00A4007F" w:rsidRPr="00941809">
        <w:rPr>
          <w:szCs w:val="24"/>
        </w:rPr>
        <w:t>disa shtesa dhe ndryshime në ligjin nr.110/2018, “</w:t>
      </w:r>
      <w:r w:rsidR="00A4007F">
        <w:rPr>
          <w:szCs w:val="24"/>
        </w:rPr>
        <w:t>P</w:t>
      </w:r>
      <w:r w:rsidR="00A4007F" w:rsidRPr="00941809">
        <w:rPr>
          <w:szCs w:val="24"/>
        </w:rPr>
        <w:t>ër noterinë”</w:t>
      </w:r>
      <w:r w:rsidR="00A4007F" w:rsidRPr="00325A1F">
        <w:rPr>
          <w:szCs w:val="24"/>
        </w:rPr>
        <w:fldChar w:fldCharType="end"/>
      </w:r>
      <w:r w:rsidR="00A4007F">
        <w:rPr>
          <w:szCs w:val="24"/>
        </w:rPr>
        <w:t xml:space="preserve"> është opsioni i preferuar sepse: </w:t>
      </w:r>
      <w:r w:rsidR="00A4007F">
        <w:rPr>
          <w:szCs w:val="24"/>
        </w:rPr>
        <w:br/>
      </w:r>
      <w:r w:rsidR="00A4007F">
        <w:rPr>
          <w:rFonts w:eastAsiaTheme="majorEastAsia"/>
        </w:rPr>
        <w:t>-</w:t>
      </w:r>
      <w:r w:rsidR="00A4007F" w:rsidRPr="000F7E33">
        <w:rPr>
          <w:rFonts w:eastAsiaTheme="majorEastAsia"/>
        </w:rPr>
        <w:t xml:space="preserve"> </w:t>
      </w:r>
      <w:r w:rsidR="00A4007F">
        <w:rPr>
          <w:rFonts w:eastAsiaTheme="majorEastAsia"/>
        </w:rPr>
        <w:t xml:space="preserve">është një masë e mjaftueshme dhe e përshtatshme për adresimin e problemit; </w:t>
      </w:r>
      <w:r w:rsidR="00A4007F">
        <w:rPr>
          <w:rFonts w:eastAsiaTheme="majorEastAsia"/>
        </w:rPr>
        <w:br/>
        <w:t>- përmbush detyrimet ndërkombëtare dhe qëllimin për nxjerrjen e Shqipërisë nga lista gri, ku</w:t>
      </w:r>
      <w:r w:rsidR="00A4007F" w:rsidRPr="002F0B42">
        <w:rPr>
          <w:rFonts w:eastAsiaTheme="majorEastAsia"/>
        </w:rPr>
        <w:t xml:space="preserve"> </w:t>
      </w:r>
      <w:r w:rsidR="00A4007F">
        <w:rPr>
          <w:rFonts w:eastAsiaTheme="majorEastAsia"/>
        </w:rPr>
        <w:t xml:space="preserve">vetë rekomandimet e FATF/MONEYVAL kërkojnë amendine të këtij ligji, që është konsideruar si një hap i mjaftueshëm për arritjen e standardit të kërkuar; </w:t>
      </w:r>
      <w:r w:rsidR="00A4007F">
        <w:rPr>
          <w:rFonts w:eastAsiaTheme="majorEastAsia"/>
        </w:rPr>
        <w:br/>
        <w:t xml:space="preserve">- ndryshimet prekin dispozita që lidhen me kushtet për hyrjen dhe ushtrimin e profesionit të noterit dhe ushtrimin e veprimtarisë noteriale, si dhe </w:t>
      </w:r>
      <w:r w:rsidR="007E0447">
        <w:rPr>
          <w:rFonts w:eastAsiaTheme="majorEastAsia"/>
        </w:rPr>
        <w:t>shkaqet</w:t>
      </w:r>
      <w:r w:rsidR="00A4007F">
        <w:rPr>
          <w:rFonts w:eastAsiaTheme="majorEastAsia"/>
        </w:rPr>
        <w:t xml:space="preserve"> për marrjen e masave të pezullimit dhe heqjes së licencës të cilat janë të parashikuara në ligjin nr. 110/2018 “Për noterinë”; </w:t>
      </w:r>
      <w:r w:rsidR="00A4007F">
        <w:rPr>
          <w:rFonts w:eastAsiaTheme="majorEastAsia"/>
        </w:rPr>
        <w:br/>
        <w:t xml:space="preserve">- garanton realizmin e objektivave të synuar; </w:t>
      </w:r>
      <w:r w:rsidR="00A4007F">
        <w:rPr>
          <w:rFonts w:eastAsiaTheme="majorEastAsia"/>
        </w:rPr>
        <w:br/>
        <w:t>- nuk sjell kosto shtesë për impelementimin dhe zbatimin e politikës as për institucionet publike dhe as për sektorin privat.</w:t>
      </w:r>
      <w:r w:rsidR="00A928C9">
        <w:rPr>
          <w:rFonts w:eastAsiaTheme="majorEastAsia"/>
        </w:rPr>
        <w:br/>
      </w:r>
      <w:r w:rsidR="00071557">
        <w:rPr>
          <w:rFonts w:eastAsiaTheme="majorEastAsia"/>
          <w:b/>
        </w:rPr>
        <w:br/>
      </w:r>
      <w:r w:rsidR="00A928C9" w:rsidRPr="00A928C9">
        <w:rPr>
          <w:rFonts w:eastAsiaTheme="majorEastAsia"/>
          <w:b/>
        </w:rPr>
        <w:t>Analiza me shumë kritere</w:t>
      </w:r>
      <w:r w:rsidR="00A928C9">
        <w:rPr>
          <w:rFonts w:eastAsiaTheme="majorEastAsia"/>
          <w:b/>
        </w:rPr>
        <w:br/>
      </w:r>
      <w:r w:rsidR="00071557">
        <w:rPr>
          <w:rFonts w:eastAsiaTheme="majorEastAsia"/>
          <w:b/>
        </w:rPr>
        <w:br/>
      </w:r>
      <w:r w:rsidR="00A928C9" w:rsidRPr="00B45AF1">
        <w:rPr>
          <w:rFonts w:eastAsiaTheme="majorEastAsia"/>
          <w:b/>
        </w:rPr>
        <w:t xml:space="preserve">Opsioni 0 (status quo): </w:t>
      </w:r>
      <w:r w:rsidR="00A928C9">
        <w:rPr>
          <w:rFonts w:eastAsiaTheme="majorEastAsia"/>
        </w:rPr>
        <w:t>N</w:t>
      </w:r>
      <w:r w:rsidR="00A928C9" w:rsidRPr="00B45AF1">
        <w:rPr>
          <w:rFonts w:eastAsiaTheme="majorEastAsia"/>
        </w:rPr>
        <w:t>uk do të ndërhyjmë me ndryshim</w:t>
      </w:r>
      <w:r w:rsidR="00A928C9">
        <w:rPr>
          <w:rFonts w:eastAsiaTheme="majorEastAsia"/>
        </w:rPr>
        <w:t xml:space="preserve"> apo politikë të re. Ruhen standardet aktuale për ushtrimin e profesionit por nuk arrihet rezultati i pritshëm në luftën ndaj krimit dhe parandalimit të pastrimit të parave dhe përmbushjes së detyrimeve ndërkombëtare.  </w:t>
      </w:r>
      <w:r w:rsidR="00A928C9">
        <w:rPr>
          <w:rFonts w:eastAsiaTheme="majorEastAsia"/>
        </w:rPr>
        <w:br/>
      </w:r>
      <w:r w:rsidR="00A928C9">
        <w:rPr>
          <w:rFonts w:eastAsiaTheme="majorEastAsia"/>
        </w:rPr>
        <w:br/>
      </w:r>
      <w:r w:rsidR="00A928C9">
        <w:rPr>
          <w:rFonts w:eastAsiaTheme="majorEastAsia"/>
          <w:b/>
        </w:rPr>
        <w:t xml:space="preserve">Opsioni 1 (jo rregullator):  </w:t>
      </w:r>
      <w:r w:rsidR="00A928C9">
        <w:rPr>
          <w:rFonts w:eastAsiaTheme="majorEastAsia"/>
        </w:rPr>
        <w:t xml:space="preserve">Vetërregullimi ose ndërgjegjësimi i noterëve, nuk adreson siç duhet problemin me masat e </w:t>
      </w:r>
      <w:r w:rsidR="007E0447">
        <w:rPr>
          <w:rFonts w:eastAsiaTheme="majorEastAsia"/>
        </w:rPr>
        <w:t>nevojshme</w:t>
      </w:r>
      <w:r w:rsidR="00A928C9">
        <w:rPr>
          <w:rFonts w:eastAsiaTheme="majorEastAsia"/>
        </w:rPr>
        <w:t xml:space="preserve">.  </w:t>
      </w:r>
      <w:r w:rsidR="00A928C9">
        <w:rPr>
          <w:rFonts w:eastAsiaTheme="majorEastAsia"/>
        </w:rPr>
        <w:br/>
      </w:r>
      <w:r w:rsidR="00A928C9">
        <w:rPr>
          <w:rFonts w:eastAsiaTheme="majorEastAsia"/>
        </w:rPr>
        <w:br/>
      </w:r>
      <w:r w:rsidR="00A928C9">
        <w:rPr>
          <w:rFonts w:eastAsiaTheme="majorEastAsia"/>
          <w:b/>
        </w:rPr>
        <w:t xml:space="preserve">Opsioni 2 </w:t>
      </w:r>
      <w:r w:rsidR="00A928C9" w:rsidRPr="002310B2">
        <w:rPr>
          <w:rFonts w:eastAsiaTheme="majorEastAsia"/>
          <w:b/>
        </w:rPr>
        <w:t>(rregullator)</w:t>
      </w:r>
      <w:r w:rsidR="00A928C9" w:rsidRPr="000F7E33">
        <w:rPr>
          <w:rFonts w:eastAsiaTheme="majorEastAsia"/>
          <w:b/>
        </w:rPr>
        <w:t>:</w:t>
      </w:r>
      <w:r w:rsidR="00A928C9" w:rsidRPr="000F7E33">
        <w:rPr>
          <w:rFonts w:eastAsiaTheme="majorEastAsia"/>
        </w:rPr>
        <w:t xml:space="preserve"> Ndryshimi i ligjit ekzistues dhe hartimi i akteve nënligjore për zbatimin e këtyre ndryshimeve. </w:t>
      </w:r>
      <w:r w:rsidR="00A928C9">
        <w:rPr>
          <w:rFonts w:eastAsiaTheme="majorEastAsia"/>
        </w:rPr>
        <w:t xml:space="preserve"> Ndryshimi i ligjit është një masë e mjaftueshme dhe e përshtatshme për adresimin e problemit dhe përmbush detyrimet ndërkombëtare.  </w:t>
      </w:r>
      <w:r w:rsidR="00A928C9">
        <w:rPr>
          <w:rFonts w:eastAsiaTheme="majorEastAsia"/>
        </w:rPr>
        <w:br/>
      </w:r>
      <w:r w:rsidR="00A928C9">
        <w:rPr>
          <w:rFonts w:eastAsiaTheme="majorEastAsia"/>
          <w:b/>
        </w:rPr>
        <w:br/>
        <w:t>Opsioni 3 (rregullator)</w:t>
      </w:r>
      <w:r w:rsidR="00A928C9" w:rsidRPr="000F7E33">
        <w:rPr>
          <w:rFonts w:eastAsiaTheme="majorEastAsia"/>
        </w:rPr>
        <w:t>: Hartimi i një ligji të ri.</w:t>
      </w:r>
      <w:r w:rsidR="00A928C9">
        <w:rPr>
          <w:rFonts w:eastAsiaTheme="majorEastAsia"/>
        </w:rPr>
        <w:t xml:space="preserve"> </w:t>
      </w:r>
      <w:r w:rsidR="00A928C9">
        <w:rPr>
          <w:szCs w:val="24"/>
        </w:rPr>
        <w:t>P</w:t>
      </w:r>
      <w:r w:rsidR="00A928C9" w:rsidRPr="00AA3582">
        <w:rPr>
          <w:szCs w:val="24"/>
        </w:rPr>
        <w:t>roblem</w:t>
      </w:r>
      <w:r w:rsidR="00A928C9">
        <w:rPr>
          <w:szCs w:val="24"/>
        </w:rPr>
        <w:t xml:space="preserve">i </w:t>
      </w:r>
      <w:r w:rsidR="00A928C9" w:rsidRPr="00AA3582">
        <w:rPr>
          <w:szCs w:val="24"/>
        </w:rPr>
        <w:t>mund të adresohe</w:t>
      </w:r>
      <w:r w:rsidR="00A928C9">
        <w:rPr>
          <w:szCs w:val="24"/>
        </w:rPr>
        <w:t>t më thjeshtë përmes</w:t>
      </w:r>
      <w:r w:rsidR="00A928C9" w:rsidRPr="00AA3582">
        <w:rPr>
          <w:szCs w:val="24"/>
        </w:rPr>
        <w:t xml:space="preserve"> ndryshime</w:t>
      </w:r>
      <w:r w:rsidR="00A928C9">
        <w:rPr>
          <w:szCs w:val="24"/>
        </w:rPr>
        <w:t>ve në ligj,</w:t>
      </w:r>
      <w:r w:rsidR="00A928C9">
        <w:t xml:space="preserve"> ndërkohë hartimi i një ligji të ri vështirëson zbatimin e tij për shkak të mosunifikimit të dispozitave që rregullojnë të njëjtën fushë.</w:t>
      </w:r>
    </w:p>
    <w:p w14:paraId="4B714097" w14:textId="4A6AD40F" w:rsidR="007C7DFA" w:rsidRDefault="005C59CE" w:rsidP="005C59CE">
      <w:pPr>
        <w:spacing w:before="240"/>
        <w:jc w:val="both"/>
        <w:rPr>
          <w:rFonts w:eastAsiaTheme="majorEastAsia"/>
          <w:color w:val="808080" w:themeColor="background1" w:themeShade="80"/>
        </w:rPr>
      </w:pPr>
      <w:r w:rsidRPr="00C0675F">
        <w:rPr>
          <w:rFonts w:eastAsiaTheme="majorEastAsia"/>
          <w:color w:val="000000" w:themeColor="text1"/>
        </w:rPr>
        <w:t>Kriteret për vlerësimin e opsioneve dhe p</w:t>
      </w:r>
      <w:r w:rsidR="00F3083D">
        <w:rPr>
          <w:rFonts w:eastAsiaTheme="majorEastAsia"/>
          <w:color w:val="000000" w:themeColor="text1"/>
        </w:rPr>
        <w:t>e</w:t>
      </w:r>
      <w:r w:rsidRPr="00C0675F">
        <w:rPr>
          <w:rFonts w:eastAsiaTheme="majorEastAsia"/>
          <w:color w:val="000000" w:themeColor="text1"/>
        </w:rPr>
        <w:t>sha e s</w:t>
      </w:r>
      <w:r w:rsidR="00F3083D">
        <w:rPr>
          <w:rFonts w:eastAsiaTheme="majorEastAsia"/>
          <w:color w:val="000000" w:themeColor="text1"/>
        </w:rPr>
        <w:t>ecilit sipas rëndësisë relative:</w:t>
      </w:r>
    </w:p>
    <w:p w14:paraId="59D478CF" w14:textId="0F9098B5" w:rsidR="005C59CE" w:rsidRPr="003C433C" w:rsidRDefault="005C59CE" w:rsidP="005C59CE">
      <w:pPr>
        <w:spacing w:before="240"/>
        <w:jc w:val="both"/>
        <w:rPr>
          <w:rFonts w:eastAsiaTheme="majorEastAsia"/>
          <w:color w:val="000000" w:themeColor="text1"/>
        </w:rPr>
      </w:pPr>
      <w:r w:rsidRPr="003C433C">
        <w:rPr>
          <w:rFonts w:eastAsiaTheme="majorEastAsia"/>
          <w:color w:val="000000" w:themeColor="text1"/>
        </w:rPr>
        <w:lastRenderedPageBreak/>
        <w:t xml:space="preserve">1. Plotësimi i ligjit me masa konkrete për vazhdimin e luftës ndaj kriminalitetit dhe pastrimit të parave e financimit të terrorizmit, brenda vitit 2021 </w:t>
      </w:r>
      <w:r w:rsidR="00F3083D">
        <w:rPr>
          <w:rFonts w:eastAsiaTheme="majorEastAsia"/>
          <w:color w:val="000000" w:themeColor="text1"/>
        </w:rPr>
        <w:t>–</w:t>
      </w:r>
      <w:r w:rsidRPr="003C433C">
        <w:rPr>
          <w:rFonts w:eastAsiaTheme="majorEastAsia"/>
          <w:color w:val="000000" w:themeColor="text1"/>
        </w:rPr>
        <w:t xml:space="preserve"> 4</w:t>
      </w:r>
      <w:r w:rsidR="00F3083D">
        <w:rPr>
          <w:rFonts w:eastAsiaTheme="majorEastAsia"/>
          <w:color w:val="000000" w:themeColor="text1"/>
        </w:rPr>
        <w:t>;</w:t>
      </w:r>
    </w:p>
    <w:p w14:paraId="472B71A5" w14:textId="4BD8A913" w:rsidR="005C59CE" w:rsidRPr="003C433C" w:rsidRDefault="005C59CE" w:rsidP="005C59CE">
      <w:pPr>
        <w:spacing w:before="240"/>
        <w:jc w:val="both"/>
        <w:rPr>
          <w:rFonts w:eastAsiaTheme="majorEastAsia"/>
          <w:color w:val="000000" w:themeColor="text1"/>
        </w:rPr>
      </w:pPr>
      <w:r w:rsidRPr="003C433C">
        <w:rPr>
          <w:rFonts w:eastAsiaTheme="majorEastAsia"/>
          <w:color w:val="000000" w:themeColor="text1"/>
        </w:rPr>
        <w:t>2. Përmbushja e rekomandimeve ndërkombëtare të caktuara për Ministrinë e Drejtësisë në fushën e noterisë brenda vitit 2021 me qëllim nxjerrja e vendit nga lista e vendeve “nën monitorim të shtuar - 5</w:t>
      </w:r>
    </w:p>
    <w:p w14:paraId="68B3959D" w14:textId="2BD88747" w:rsidR="005C59CE" w:rsidRPr="003C433C" w:rsidRDefault="005C59CE" w:rsidP="005C59CE">
      <w:pPr>
        <w:spacing w:before="240"/>
        <w:jc w:val="both"/>
        <w:rPr>
          <w:rFonts w:eastAsiaTheme="majorEastAsia"/>
          <w:color w:val="000000" w:themeColor="text1"/>
        </w:rPr>
      </w:pPr>
      <w:r w:rsidRPr="003C433C">
        <w:rPr>
          <w:rFonts w:eastAsiaTheme="majorEastAsia"/>
          <w:color w:val="000000" w:themeColor="text1"/>
        </w:rPr>
        <w:t xml:space="preserve">3. </w:t>
      </w:r>
      <w:r w:rsidR="00C0675F" w:rsidRPr="00C0675F">
        <w:rPr>
          <w:color w:val="000000" w:themeColor="text1"/>
        </w:rPr>
        <w:t>Parandalimi i depërtimit dhe goditja e elementëve kriminalë në radhët e no</w:t>
      </w:r>
      <w:r w:rsidR="00C0675F">
        <w:rPr>
          <w:color w:val="000000" w:themeColor="text1"/>
        </w:rPr>
        <w:t>terëve dhe zëvendësnoterëve</w:t>
      </w:r>
      <w:r w:rsidR="00B42A63" w:rsidRPr="003C433C">
        <w:rPr>
          <w:rFonts w:eastAsiaTheme="majorEastAsia"/>
          <w:color w:val="000000" w:themeColor="text1"/>
        </w:rPr>
        <w:t>- 3</w:t>
      </w:r>
    </w:p>
    <w:p w14:paraId="4C7F9D99" w14:textId="6D195958" w:rsidR="005C59CE" w:rsidRPr="003C433C" w:rsidRDefault="005C59CE" w:rsidP="005C59CE">
      <w:pPr>
        <w:spacing w:before="240"/>
        <w:jc w:val="both"/>
        <w:rPr>
          <w:rFonts w:eastAsiaTheme="majorEastAsia"/>
          <w:color w:val="000000" w:themeColor="text1"/>
        </w:rPr>
      </w:pPr>
      <w:r w:rsidRPr="003C433C">
        <w:rPr>
          <w:rFonts w:eastAsiaTheme="majorEastAsia"/>
          <w:color w:val="000000" w:themeColor="text1"/>
        </w:rPr>
        <w:t>4. Ulja e rrisqeve dhe praktikave të pastrimit të parave dhe financimit të terrorizmit nga noterët  brenda 3 viteve të ardhshëm, nëpërmjet zbatimit rigoroz të kritereve të licensimit dhe marrjes së masave parandaluese e ndëshkuese për të garantuar zbatimin me korrektësi të legjislacionit në fuqidhe zbatim efikas legjislacionit përkatës -</w:t>
      </w:r>
      <w:r w:rsidR="00B42A63" w:rsidRPr="003C433C">
        <w:rPr>
          <w:rFonts w:eastAsiaTheme="majorEastAsia"/>
          <w:color w:val="000000" w:themeColor="text1"/>
        </w:rPr>
        <w:t xml:space="preserve"> 2</w:t>
      </w:r>
    </w:p>
    <w:p w14:paraId="643101C0" w14:textId="127D0BE2" w:rsidR="00B42A63" w:rsidRPr="003C433C" w:rsidRDefault="005C59CE" w:rsidP="005C59CE">
      <w:pPr>
        <w:spacing w:before="240"/>
        <w:jc w:val="both"/>
        <w:rPr>
          <w:rFonts w:eastAsiaTheme="majorEastAsia"/>
          <w:color w:val="000000" w:themeColor="text1"/>
        </w:rPr>
      </w:pPr>
      <w:r w:rsidRPr="003C433C">
        <w:rPr>
          <w:rFonts w:eastAsiaTheme="majorEastAsia"/>
          <w:color w:val="000000" w:themeColor="text1"/>
        </w:rPr>
        <w:t xml:space="preserve">5. </w:t>
      </w:r>
      <w:r w:rsidR="00DD2D41">
        <w:t>Forcimi i integritetit dhe</w:t>
      </w:r>
      <w:r w:rsidR="007E0447" w:rsidRPr="00C0675F">
        <w:t xml:space="preserve"> figurës së noterit</w:t>
      </w:r>
      <w:r w:rsidR="007E0447">
        <w:t xml:space="preserve">, </w:t>
      </w:r>
      <w:r w:rsidR="007E0447" w:rsidRPr="00C0675F">
        <w:t>rritj</w:t>
      </w:r>
      <w:r w:rsidR="007E0447">
        <w:t>a</w:t>
      </w:r>
      <w:r w:rsidR="007E0447" w:rsidRPr="00C0675F">
        <w:t xml:space="preserve"> e cilësisë së shërbimit </w:t>
      </w:r>
      <w:r w:rsidR="007E0447">
        <w:t>notarial, si dhe rritja e besimit të publikut të profesioni i noterit</w:t>
      </w:r>
      <w:r w:rsidR="007E0447" w:rsidRPr="00C0675F">
        <w:t>.</w:t>
      </w:r>
      <w:r w:rsidRPr="003C433C">
        <w:rPr>
          <w:rFonts w:eastAsiaTheme="majorEastAsia"/>
          <w:color w:val="000000" w:themeColor="text1"/>
        </w:rPr>
        <w:t>- 3</w:t>
      </w:r>
    </w:p>
    <w:p w14:paraId="5FA6680B" w14:textId="3C0E947D" w:rsidR="007C7DFA" w:rsidRPr="003C433C" w:rsidRDefault="007C7DFA" w:rsidP="005C59CE">
      <w:pPr>
        <w:spacing w:before="240"/>
        <w:jc w:val="both"/>
        <w:rPr>
          <w:color w:val="000000" w:themeColor="text1"/>
        </w:rPr>
      </w:pPr>
      <w:r w:rsidRPr="003C433C">
        <w:rPr>
          <w:rFonts w:eastAsiaTheme="majorEastAsia"/>
          <w:color w:val="000000" w:themeColor="text1"/>
        </w:rPr>
        <w:t>6</w:t>
      </w:r>
      <w:r w:rsidR="00B42A63" w:rsidRPr="003C433C">
        <w:rPr>
          <w:rFonts w:eastAsiaTheme="majorEastAsia"/>
          <w:color w:val="000000" w:themeColor="text1"/>
        </w:rPr>
        <w:t>. Kosto efektiviteti - 4</w:t>
      </w:r>
    </w:p>
    <w:p w14:paraId="7E7840A4" w14:textId="0E54A0B8" w:rsidR="005C59CE" w:rsidRPr="00CF2ADA" w:rsidRDefault="007C7DFA" w:rsidP="005C59CE">
      <w:pPr>
        <w:spacing w:before="240"/>
        <w:jc w:val="both"/>
        <w:rPr>
          <w:rFonts w:eastAsiaTheme="majorEastAsia"/>
          <w:color w:val="808080" w:themeColor="background1" w:themeShade="80"/>
          <w:lang w:val="sq-AL"/>
        </w:rPr>
      </w:pPr>
      <w:r>
        <w:t>Shkalla e performancës është nga 0 në 5, ku 0 përfaqëson opsionin më pak të preferuar dhe 5 atë më të preferuarin.</w:t>
      </w:r>
      <w:r w:rsidR="005C59CE">
        <w:rPr>
          <w:rFonts w:eastAsiaTheme="majorEastAsia"/>
          <w:color w:val="808080" w:themeColor="background1" w:themeShade="80"/>
        </w:rPr>
        <w:br/>
      </w:r>
    </w:p>
    <w:tbl>
      <w:tblPr>
        <w:tblStyle w:val="TableGrid"/>
        <w:tblW w:w="0" w:type="auto"/>
        <w:tblLook w:val="04A0" w:firstRow="1" w:lastRow="0" w:firstColumn="1" w:lastColumn="0" w:noHBand="0" w:noVBand="1"/>
      </w:tblPr>
      <w:tblGrid>
        <w:gridCol w:w="4135"/>
        <w:gridCol w:w="816"/>
        <w:gridCol w:w="1254"/>
        <w:gridCol w:w="1260"/>
        <w:gridCol w:w="1260"/>
        <w:gridCol w:w="1321"/>
      </w:tblGrid>
      <w:tr w:rsidR="003C433C" w:rsidRPr="003C433C" w14:paraId="50CA9C5A" w14:textId="77777777" w:rsidTr="0090499B">
        <w:trPr>
          <w:trHeight w:val="454"/>
        </w:trPr>
        <w:tc>
          <w:tcPr>
            <w:tcW w:w="4135" w:type="dxa"/>
          </w:tcPr>
          <w:p w14:paraId="4716137F" w14:textId="140AD744" w:rsidR="005C59CE" w:rsidRPr="003C433C" w:rsidRDefault="005C59CE" w:rsidP="00A928C9">
            <w:pPr>
              <w:spacing w:before="240"/>
              <w:jc w:val="both"/>
              <w:rPr>
                <w:rFonts w:eastAsiaTheme="majorEastAsia"/>
                <w:b/>
                <w:color w:val="000000" w:themeColor="text1"/>
                <w:lang w:val="sq-AL"/>
              </w:rPr>
            </w:pPr>
            <w:r w:rsidRPr="003C433C">
              <w:rPr>
                <w:rFonts w:eastAsiaTheme="majorEastAsia"/>
                <w:b/>
                <w:color w:val="000000" w:themeColor="text1"/>
                <w:lang w:val="sq-AL"/>
              </w:rPr>
              <w:t>Kriteret</w:t>
            </w:r>
          </w:p>
        </w:tc>
        <w:tc>
          <w:tcPr>
            <w:tcW w:w="816" w:type="dxa"/>
          </w:tcPr>
          <w:p w14:paraId="34F6BB44" w14:textId="35BA7C4C" w:rsidR="005C59CE" w:rsidRPr="003C433C" w:rsidRDefault="005C59CE" w:rsidP="00A928C9">
            <w:pPr>
              <w:spacing w:before="240"/>
              <w:jc w:val="both"/>
              <w:rPr>
                <w:rFonts w:eastAsiaTheme="majorEastAsia"/>
                <w:b/>
                <w:color w:val="000000" w:themeColor="text1"/>
                <w:lang w:val="sq-AL"/>
              </w:rPr>
            </w:pPr>
            <w:r w:rsidRPr="003C433C">
              <w:rPr>
                <w:rFonts w:eastAsiaTheme="majorEastAsia"/>
                <w:b/>
                <w:color w:val="000000" w:themeColor="text1"/>
                <w:lang w:val="sq-AL"/>
              </w:rPr>
              <w:t>Pesha</w:t>
            </w:r>
          </w:p>
        </w:tc>
        <w:tc>
          <w:tcPr>
            <w:tcW w:w="1254" w:type="dxa"/>
          </w:tcPr>
          <w:p w14:paraId="787AE828" w14:textId="624AC428" w:rsidR="005C59CE" w:rsidRPr="003C433C" w:rsidRDefault="005C59CE" w:rsidP="00A928C9">
            <w:pPr>
              <w:spacing w:before="240"/>
              <w:jc w:val="both"/>
              <w:rPr>
                <w:rFonts w:eastAsiaTheme="majorEastAsia"/>
                <w:b/>
                <w:color w:val="000000" w:themeColor="text1"/>
                <w:lang w:val="sq-AL"/>
              </w:rPr>
            </w:pPr>
            <w:r w:rsidRPr="003C433C">
              <w:rPr>
                <w:rFonts w:eastAsiaTheme="majorEastAsia"/>
                <w:b/>
                <w:color w:val="000000" w:themeColor="text1"/>
                <w:lang w:val="sq-AL"/>
              </w:rPr>
              <w:t>Opsioni 0</w:t>
            </w:r>
          </w:p>
        </w:tc>
        <w:tc>
          <w:tcPr>
            <w:tcW w:w="1260" w:type="dxa"/>
          </w:tcPr>
          <w:p w14:paraId="1E29392D" w14:textId="7618B36F" w:rsidR="005C59CE" w:rsidRPr="003C433C" w:rsidRDefault="005C59CE" w:rsidP="005C59CE">
            <w:pPr>
              <w:spacing w:before="240"/>
              <w:jc w:val="both"/>
              <w:rPr>
                <w:rFonts w:eastAsiaTheme="majorEastAsia"/>
                <w:b/>
                <w:color w:val="000000" w:themeColor="text1"/>
                <w:lang w:val="sq-AL"/>
              </w:rPr>
            </w:pPr>
            <w:r w:rsidRPr="003C433C">
              <w:rPr>
                <w:rFonts w:eastAsiaTheme="majorEastAsia"/>
                <w:b/>
                <w:color w:val="000000" w:themeColor="text1"/>
                <w:lang w:val="sq-AL"/>
              </w:rPr>
              <w:t>Opsioni 1</w:t>
            </w:r>
          </w:p>
        </w:tc>
        <w:tc>
          <w:tcPr>
            <w:tcW w:w="1260" w:type="dxa"/>
          </w:tcPr>
          <w:p w14:paraId="2E832387" w14:textId="4F422127" w:rsidR="005C59CE" w:rsidRPr="003C433C" w:rsidRDefault="005C59CE" w:rsidP="00A928C9">
            <w:pPr>
              <w:spacing w:before="240"/>
              <w:jc w:val="both"/>
              <w:rPr>
                <w:rFonts w:eastAsiaTheme="majorEastAsia"/>
                <w:b/>
                <w:color w:val="000000" w:themeColor="text1"/>
                <w:lang w:val="sq-AL"/>
              </w:rPr>
            </w:pPr>
            <w:r w:rsidRPr="003C433C">
              <w:rPr>
                <w:rFonts w:eastAsiaTheme="majorEastAsia"/>
                <w:b/>
                <w:color w:val="000000" w:themeColor="text1"/>
                <w:lang w:val="sq-AL"/>
              </w:rPr>
              <w:t>Opsioni 2</w:t>
            </w:r>
          </w:p>
        </w:tc>
        <w:tc>
          <w:tcPr>
            <w:tcW w:w="1321" w:type="dxa"/>
          </w:tcPr>
          <w:p w14:paraId="77F6C403" w14:textId="6411D9F1" w:rsidR="005C59CE" w:rsidRPr="003C433C" w:rsidRDefault="005C59CE" w:rsidP="00A928C9">
            <w:pPr>
              <w:spacing w:before="240"/>
              <w:jc w:val="both"/>
              <w:rPr>
                <w:rFonts w:eastAsiaTheme="majorEastAsia"/>
                <w:b/>
                <w:color w:val="000000" w:themeColor="text1"/>
                <w:lang w:val="sq-AL"/>
              </w:rPr>
            </w:pPr>
            <w:r w:rsidRPr="003C433C">
              <w:rPr>
                <w:rFonts w:eastAsiaTheme="majorEastAsia"/>
                <w:b/>
                <w:color w:val="000000" w:themeColor="text1"/>
                <w:lang w:val="sq-AL"/>
              </w:rPr>
              <w:t>Opsioni 3</w:t>
            </w:r>
          </w:p>
        </w:tc>
      </w:tr>
      <w:tr w:rsidR="003C433C" w:rsidRPr="003C433C" w14:paraId="58D70CE2" w14:textId="77777777" w:rsidTr="0090499B">
        <w:trPr>
          <w:trHeight w:val="1171"/>
        </w:trPr>
        <w:tc>
          <w:tcPr>
            <w:tcW w:w="4135" w:type="dxa"/>
          </w:tcPr>
          <w:p w14:paraId="07DD0CE1" w14:textId="0E104D19" w:rsidR="005C59CE" w:rsidRPr="003C433C" w:rsidRDefault="005C59CE" w:rsidP="005C59CE">
            <w:pPr>
              <w:spacing w:before="240"/>
              <w:jc w:val="both"/>
              <w:rPr>
                <w:rFonts w:eastAsiaTheme="majorEastAsia"/>
                <w:color w:val="000000" w:themeColor="text1"/>
                <w:lang w:val="sq-AL"/>
              </w:rPr>
            </w:pPr>
            <w:r w:rsidRPr="003C433C">
              <w:rPr>
                <w:rFonts w:eastAsiaTheme="majorEastAsia"/>
                <w:color w:val="000000" w:themeColor="text1"/>
                <w:lang w:val="sq-AL"/>
              </w:rPr>
              <w:t>Plotësimi i ligjit me masa konkrete për vazhdimin e luftës ndaj kriminalitetit dhe pastrimit të parave e financimit të</w:t>
            </w:r>
            <w:r w:rsidR="007C7DFA" w:rsidRPr="003C433C">
              <w:rPr>
                <w:rFonts w:eastAsiaTheme="majorEastAsia"/>
                <w:color w:val="000000" w:themeColor="text1"/>
                <w:lang w:val="sq-AL"/>
              </w:rPr>
              <w:t xml:space="preserve"> terrorizmit, brenda vitit 2021</w:t>
            </w:r>
          </w:p>
        </w:tc>
        <w:tc>
          <w:tcPr>
            <w:tcW w:w="816" w:type="dxa"/>
          </w:tcPr>
          <w:p w14:paraId="4643C198" w14:textId="49DFF210" w:rsidR="005C59CE" w:rsidRPr="003C433C" w:rsidRDefault="00B42A63" w:rsidP="00A928C9">
            <w:pPr>
              <w:spacing w:before="240"/>
              <w:jc w:val="both"/>
              <w:rPr>
                <w:rFonts w:eastAsiaTheme="majorEastAsia"/>
                <w:color w:val="000000" w:themeColor="text1"/>
                <w:lang w:val="sq-AL"/>
              </w:rPr>
            </w:pPr>
            <w:r w:rsidRPr="003C433C">
              <w:rPr>
                <w:rFonts w:eastAsiaTheme="majorEastAsia"/>
                <w:color w:val="000000" w:themeColor="text1"/>
                <w:lang w:val="sq-AL"/>
              </w:rPr>
              <w:t>4</w:t>
            </w:r>
          </w:p>
        </w:tc>
        <w:tc>
          <w:tcPr>
            <w:tcW w:w="1254" w:type="dxa"/>
          </w:tcPr>
          <w:p w14:paraId="3066C45A" w14:textId="575CC920" w:rsidR="005C59CE" w:rsidRPr="003C433C" w:rsidRDefault="00B42A63" w:rsidP="00A928C9">
            <w:pPr>
              <w:spacing w:before="240"/>
              <w:jc w:val="both"/>
              <w:rPr>
                <w:rFonts w:eastAsiaTheme="majorEastAsia"/>
                <w:color w:val="000000" w:themeColor="text1"/>
                <w:lang w:val="sq-AL"/>
              </w:rPr>
            </w:pPr>
            <w:r w:rsidRPr="003C433C">
              <w:rPr>
                <w:rFonts w:eastAsiaTheme="majorEastAsia"/>
                <w:color w:val="000000" w:themeColor="text1"/>
                <w:lang w:val="sq-AL"/>
              </w:rPr>
              <w:t>0(0)</w:t>
            </w:r>
          </w:p>
        </w:tc>
        <w:tc>
          <w:tcPr>
            <w:tcW w:w="1260" w:type="dxa"/>
          </w:tcPr>
          <w:p w14:paraId="71878C41" w14:textId="72863777" w:rsidR="005C59CE" w:rsidRPr="003C433C" w:rsidRDefault="00B42A63" w:rsidP="00A928C9">
            <w:pPr>
              <w:spacing w:before="240"/>
              <w:jc w:val="both"/>
              <w:rPr>
                <w:rFonts w:eastAsiaTheme="majorEastAsia"/>
                <w:color w:val="000000" w:themeColor="text1"/>
                <w:lang w:val="sq-AL"/>
              </w:rPr>
            </w:pPr>
            <w:r w:rsidRPr="003C433C">
              <w:rPr>
                <w:rFonts w:eastAsiaTheme="majorEastAsia"/>
                <w:color w:val="000000" w:themeColor="text1"/>
                <w:lang w:val="sq-AL"/>
              </w:rPr>
              <w:t>0(0)</w:t>
            </w:r>
          </w:p>
        </w:tc>
        <w:tc>
          <w:tcPr>
            <w:tcW w:w="1260" w:type="dxa"/>
          </w:tcPr>
          <w:p w14:paraId="781C9877" w14:textId="1878569C" w:rsidR="005C59CE" w:rsidRPr="003C433C" w:rsidRDefault="00B42A63" w:rsidP="00A928C9">
            <w:pPr>
              <w:spacing w:before="240"/>
              <w:jc w:val="both"/>
              <w:rPr>
                <w:rFonts w:eastAsiaTheme="majorEastAsia"/>
                <w:color w:val="000000" w:themeColor="text1"/>
                <w:lang w:val="sq-AL"/>
              </w:rPr>
            </w:pPr>
            <w:r w:rsidRPr="003C433C">
              <w:rPr>
                <w:rFonts w:eastAsiaTheme="majorEastAsia"/>
                <w:color w:val="000000" w:themeColor="text1"/>
                <w:lang w:val="sq-AL"/>
              </w:rPr>
              <w:t>5(20)</w:t>
            </w:r>
          </w:p>
        </w:tc>
        <w:tc>
          <w:tcPr>
            <w:tcW w:w="1321" w:type="dxa"/>
          </w:tcPr>
          <w:p w14:paraId="7C11FAFF" w14:textId="33A54B56" w:rsidR="005C59CE" w:rsidRPr="003C433C" w:rsidRDefault="00B42A63" w:rsidP="00A928C9">
            <w:pPr>
              <w:spacing w:before="240"/>
              <w:jc w:val="both"/>
              <w:rPr>
                <w:rFonts w:eastAsiaTheme="majorEastAsia"/>
                <w:color w:val="000000" w:themeColor="text1"/>
                <w:lang w:val="sq-AL"/>
              </w:rPr>
            </w:pPr>
            <w:r w:rsidRPr="003C433C">
              <w:rPr>
                <w:rFonts w:eastAsiaTheme="majorEastAsia"/>
                <w:color w:val="000000" w:themeColor="text1"/>
                <w:lang w:val="sq-AL"/>
              </w:rPr>
              <w:t>3(12)</w:t>
            </w:r>
          </w:p>
        </w:tc>
      </w:tr>
      <w:tr w:rsidR="003C433C" w:rsidRPr="003C433C" w14:paraId="2A317A0C" w14:textId="77777777" w:rsidTr="0090499B">
        <w:trPr>
          <w:trHeight w:val="1182"/>
        </w:trPr>
        <w:tc>
          <w:tcPr>
            <w:tcW w:w="4135" w:type="dxa"/>
          </w:tcPr>
          <w:p w14:paraId="4D162ADE" w14:textId="5BB30C29" w:rsidR="00B42A63" w:rsidRPr="003C433C" w:rsidRDefault="00B42A63" w:rsidP="007C7DFA">
            <w:pPr>
              <w:spacing w:before="240"/>
              <w:jc w:val="both"/>
              <w:rPr>
                <w:rFonts w:eastAsiaTheme="majorEastAsia"/>
                <w:color w:val="000000" w:themeColor="text1"/>
                <w:lang w:val="sq-AL"/>
              </w:rPr>
            </w:pPr>
            <w:r w:rsidRPr="003C433C">
              <w:rPr>
                <w:rFonts w:eastAsiaTheme="majorEastAsia"/>
                <w:color w:val="000000" w:themeColor="text1"/>
                <w:lang w:val="sq-AL"/>
              </w:rPr>
              <w:t xml:space="preserve">Përmbushja e rekomandimeve ndërkombëtare të caktuara për Ministrinë e Drejtësisë në fushën e noterisë brenda vitit 2021   </w:t>
            </w:r>
          </w:p>
        </w:tc>
        <w:tc>
          <w:tcPr>
            <w:tcW w:w="816" w:type="dxa"/>
          </w:tcPr>
          <w:p w14:paraId="66776EA6" w14:textId="41C777BA" w:rsidR="00B42A63" w:rsidRPr="003C433C" w:rsidRDefault="00B42A63" w:rsidP="00B42A63">
            <w:pPr>
              <w:spacing w:before="240"/>
              <w:jc w:val="both"/>
              <w:rPr>
                <w:rFonts w:eastAsiaTheme="majorEastAsia"/>
                <w:color w:val="000000" w:themeColor="text1"/>
                <w:lang w:val="sq-AL"/>
              </w:rPr>
            </w:pPr>
            <w:r w:rsidRPr="003C433C">
              <w:rPr>
                <w:rFonts w:eastAsiaTheme="majorEastAsia"/>
                <w:color w:val="000000" w:themeColor="text1"/>
                <w:lang w:val="sq-AL"/>
              </w:rPr>
              <w:t>5</w:t>
            </w:r>
          </w:p>
        </w:tc>
        <w:tc>
          <w:tcPr>
            <w:tcW w:w="1254" w:type="dxa"/>
          </w:tcPr>
          <w:p w14:paraId="0EDCB4A5" w14:textId="572CA861" w:rsidR="00B42A63" w:rsidRPr="003C433C" w:rsidRDefault="00B42A63" w:rsidP="00B42A63">
            <w:pPr>
              <w:spacing w:before="240"/>
              <w:jc w:val="both"/>
              <w:rPr>
                <w:rFonts w:eastAsiaTheme="majorEastAsia"/>
                <w:color w:val="000000" w:themeColor="text1"/>
                <w:lang w:val="sq-AL"/>
              </w:rPr>
            </w:pPr>
            <w:r w:rsidRPr="003C433C">
              <w:rPr>
                <w:rFonts w:eastAsiaTheme="majorEastAsia"/>
                <w:color w:val="000000" w:themeColor="text1"/>
                <w:lang w:val="sq-AL"/>
              </w:rPr>
              <w:t>0(0)</w:t>
            </w:r>
          </w:p>
        </w:tc>
        <w:tc>
          <w:tcPr>
            <w:tcW w:w="1260" w:type="dxa"/>
          </w:tcPr>
          <w:p w14:paraId="440AC55B" w14:textId="67447232" w:rsidR="00B42A63" w:rsidRPr="003C433C" w:rsidRDefault="00B42A63" w:rsidP="00B42A63">
            <w:pPr>
              <w:spacing w:before="240"/>
              <w:jc w:val="both"/>
              <w:rPr>
                <w:rFonts w:eastAsiaTheme="majorEastAsia"/>
                <w:color w:val="000000" w:themeColor="text1"/>
                <w:lang w:val="sq-AL"/>
              </w:rPr>
            </w:pPr>
            <w:r w:rsidRPr="003C433C">
              <w:rPr>
                <w:rFonts w:eastAsiaTheme="majorEastAsia"/>
                <w:color w:val="000000" w:themeColor="text1"/>
                <w:lang w:val="sq-AL"/>
              </w:rPr>
              <w:t>0(0)</w:t>
            </w:r>
          </w:p>
        </w:tc>
        <w:tc>
          <w:tcPr>
            <w:tcW w:w="1260" w:type="dxa"/>
          </w:tcPr>
          <w:p w14:paraId="6C41FC5D" w14:textId="094CEB3A" w:rsidR="00B42A63" w:rsidRPr="003C433C" w:rsidRDefault="00B42A63" w:rsidP="00B42A63">
            <w:pPr>
              <w:spacing w:before="240"/>
              <w:jc w:val="both"/>
              <w:rPr>
                <w:rFonts w:eastAsiaTheme="majorEastAsia"/>
                <w:color w:val="000000" w:themeColor="text1"/>
                <w:lang w:val="sq-AL"/>
              </w:rPr>
            </w:pPr>
            <w:r w:rsidRPr="003C433C">
              <w:rPr>
                <w:rFonts w:eastAsiaTheme="majorEastAsia"/>
                <w:color w:val="000000" w:themeColor="text1"/>
                <w:lang w:val="sq-AL"/>
              </w:rPr>
              <w:t>5(25)</w:t>
            </w:r>
          </w:p>
        </w:tc>
        <w:tc>
          <w:tcPr>
            <w:tcW w:w="1321" w:type="dxa"/>
          </w:tcPr>
          <w:p w14:paraId="3A7B607D" w14:textId="16A3785A" w:rsidR="00B42A63" w:rsidRPr="003C433C" w:rsidRDefault="00B42A63" w:rsidP="00B42A63">
            <w:pPr>
              <w:spacing w:before="240"/>
              <w:jc w:val="both"/>
              <w:rPr>
                <w:rFonts w:eastAsiaTheme="majorEastAsia"/>
                <w:color w:val="000000" w:themeColor="text1"/>
                <w:lang w:val="sq-AL"/>
              </w:rPr>
            </w:pPr>
            <w:r w:rsidRPr="003C433C">
              <w:rPr>
                <w:rFonts w:eastAsiaTheme="majorEastAsia"/>
                <w:color w:val="000000" w:themeColor="text1"/>
                <w:lang w:val="sq-AL"/>
              </w:rPr>
              <w:t>4(15)</w:t>
            </w:r>
          </w:p>
        </w:tc>
      </w:tr>
      <w:tr w:rsidR="003C433C" w:rsidRPr="003C433C" w14:paraId="3718C6BC" w14:textId="77777777" w:rsidTr="0090499B">
        <w:trPr>
          <w:trHeight w:val="929"/>
        </w:trPr>
        <w:tc>
          <w:tcPr>
            <w:tcW w:w="4135" w:type="dxa"/>
          </w:tcPr>
          <w:p w14:paraId="4723E1A5" w14:textId="115F26AF" w:rsidR="00B42A63" w:rsidRPr="003C433C" w:rsidRDefault="00C0675F" w:rsidP="00C0675F">
            <w:pPr>
              <w:spacing w:before="240"/>
              <w:jc w:val="both"/>
              <w:rPr>
                <w:rFonts w:eastAsiaTheme="majorEastAsia"/>
                <w:color w:val="000000" w:themeColor="text1"/>
                <w:lang w:val="sq-AL"/>
              </w:rPr>
            </w:pPr>
            <w:r w:rsidRPr="00C0675F">
              <w:rPr>
                <w:color w:val="000000" w:themeColor="text1"/>
              </w:rPr>
              <w:t>Parandalimi i depërtimit dhe goditja e elementëve kriminalë në radhët e radhët e no</w:t>
            </w:r>
            <w:r>
              <w:rPr>
                <w:color w:val="000000" w:themeColor="text1"/>
              </w:rPr>
              <w:t>terëve dhe zëvendësnoterëve</w:t>
            </w:r>
            <w:r w:rsidRPr="00C0675F">
              <w:t>;</w:t>
            </w:r>
          </w:p>
        </w:tc>
        <w:tc>
          <w:tcPr>
            <w:tcW w:w="816" w:type="dxa"/>
          </w:tcPr>
          <w:p w14:paraId="46945520" w14:textId="0115B034" w:rsidR="00B42A63" w:rsidRPr="003C433C" w:rsidRDefault="00B42A63" w:rsidP="00B42A63">
            <w:pPr>
              <w:spacing w:before="240"/>
              <w:jc w:val="both"/>
              <w:rPr>
                <w:rFonts w:eastAsiaTheme="majorEastAsia"/>
                <w:color w:val="000000" w:themeColor="text1"/>
                <w:lang w:val="sq-AL"/>
              </w:rPr>
            </w:pPr>
            <w:r w:rsidRPr="003C433C">
              <w:rPr>
                <w:rFonts w:eastAsiaTheme="majorEastAsia"/>
                <w:color w:val="000000" w:themeColor="text1"/>
                <w:lang w:val="sq-AL"/>
              </w:rPr>
              <w:t>3</w:t>
            </w:r>
          </w:p>
        </w:tc>
        <w:tc>
          <w:tcPr>
            <w:tcW w:w="1254" w:type="dxa"/>
          </w:tcPr>
          <w:p w14:paraId="439292D4" w14:textId="0CB1F325" w:rsidR="00B42A63" w:rsidRPr="003C433C" w:rsidRDefault="00B42A63" w:rsidP="00B42A63">
            <w:pPr>
              <w:spacing w:before="240"/>
              <w:jc w:val="both"/>
              <w:rPr>
                <w:rFonts w:eastAsiaTheme="majorEastAsia"/>
                <w:color w:val="000000" w:themeColor="text1"/>
                <w:lang w:val="sq-AL"/>
              </w:rPr>
            </w:pPr>
            <w:r w:rsidRPr="003C433C">
              <w:rPr>
                <w:rFonts w:eastAsiaTheme="majorEastAsia"/>
                <w:color w:val="000000" w:themeColor="text1"/>
                <w:lang w:val="sq-AL"/>
              </w:rPr>
              <w:t>1(3)</w:t>
            </w:r>
          </w:p>
        </w:tc>
        <w:tc>
          <w:tcPr>
            <w:tcW w:w="1260" w:type="dxa"/>
          </w:tcPr>
          <w:p w14:paraId="69179F90" w14:textId="613A6E3C" w:rsidR="00B42A63" w:rsidRPr="003C433C" w:rsidRDefault="00B42A63" w:rsidP="00B42A63">
            <w:pPr>
              <w:spacing w:before="240"/>
              <w:jc w:val="both"/>
              <w:rPr>
                <w:rFonts w:eastAsiaTheme="majorEastAsia"/>
                <w:color w:val="000000" w:themeColor="text1"/>
                <w:lang w:val="sq-AL"/>
              </w:rPr>
            </w:pPr>
            <w:r w:rsidRPr="003C433C">
              <w:rPr>
                <w:rFonts w:eastAsiaTheme="majorEastAsia"/>
                <w:color w:val="000000" w:themeColor="text1"/>
                <w:lang w:val="sq-AL"/>
              </w:rPr>
              <w:t>2(6)</w:t>
            </w:r>
          </w:p>
        </w:tc>
        <w:tc>
          <w:tcPr>
            <w:tcW w:w="1260" w:type="dxa"/>
          </w:tcPr>
          <w:p w14:paraId="4A513B44" w14:textId="052A28BA" w:rsidR="00B42A63" w:rsidRPr="003C433C" w:rsidRDefault="00B42A63" w:rsidP="00B42A63">
            <w:pPr>
              <w:spacing w:before="240"/>
              <w:jc w:val="both"/>
              <w:rPr>
                <w:rFonts w:eastAsiaTheme="majorEastAsia"/>
                <w:color w:val="000000" w:themeColor="text1"/>
                <w:lang w:val="sq-AL"/>
              </w:rPr>
            </w:pPr>
            <w:r w:rsidRPr="003C433C">
              <w:rPr>
                <w:rFonts w:eastAsiaTheme="majorEastAsia"/>
                <w:color w:val="000000" w:themeColor="text1"/>
                <w:lang w:val="sq-AL"/>
              </w:rPr>
              <w:t>5(15)</w:t>
            </w:r>
          </w:p>
        </w:tc>
        <w:tc>
          <w:tcPr>
            <w:tcW w:w="1321" w:type="dxa"/>
          </w:tcPr>
          <w:p w14:paraId="295B8562" w14:textId="4E70D1BE" w:rsidR="00B42A63" w:rsidRPr="003C433C" w:rsidRDefault="00B42A63" w:rsidP="00B42A63">
            <w:pPr>
              <w:spacing w:before="240"/>
              <w:jc w:val="both"/>
              <w:rPr>
                <w:rFonts w:eastAsiaTheme="majorEastAsia"/>
                <w:color w:val="000000" w:themeColor="text1"/>
                <w:lang w:val="sq-AL"/>
              </w:rPr>
            </w:pPr>
            <w:r w:rsidRPr="003C433C">
              <w:rPr>
                <w:rFonts w:eastAsiaTheme="majorEastAsia"/>
                <w:color w:val="000000" w:themeColor="text1"/>
                <w:lang w:val="sq-AL"/>
              </w:rPr>
              <w:t>4(12)</w:t>
            </w:r>
          </w:p>
        </w:tc>
      </w:tr>
      <w:tr w:rsidR="003C433C" w:rsidRPr="003C433C" w14:paraId="3ECB30C5" w14:textId="77777777" w:rsidTr="0090499B">
        <w:trPr>
          <w:trHeight w:val="939"/>
        </w:trPr>
        <w:tc>
          <w:tcPr>
            <w:tcW w:w="4135" w:type="dxa"/>
          </w:tcPr>
          <w:p w14:paraId="4C8CF4BC" w14:textId="27993A27" w:rsidR="00B42A63" w:rsidRPr="003C433C" w:rsidRDefault="00B42A63" w:rsidP="007C7DFA">
            <w:pPr>
              <w:spacing w:before="240"/>
              <w:jc w:val="both"/>
              <w:rPr>
                <w:rFonts w:eastAsiaTheme="majorEastAsia"/>
                <w:color w:val="000000" w:themeColor="text1"/>
                <w:lang w:val="sq-AL"/>
              </w:rPr>
            </w:pPr>
            <w:r w:rsidRPr="003C433C">
              <w:rPr>
                <w:rFonts w:eastAsiaTheme="majorEastAsia"/>
                <w:color w:val="000000" w:themeColor="text1"/>
                <w:lang w:val="sq-AL"/>
              </w:rPr>
              <w:t xml:space="preserve">Ulja e rrisqeve dhe praktikave të pastrimit të parave dhe financimit të terrorizmit nga noterët  </w:t>
            </w:r>
          </w:p>
        </w:tc>
        <w:tc>
          <w:tcPr>
            <w:tcW w:w="816" w:type="dxa"/>
          </w:tcPr>
          <w:p w14:paraId="5695B35A" w14:textId="12C22C48" w:rsidR="00B42A63" w:rsidRPr="003C433C" w:rsidRDefault="00B42A63" w:rsidP="00B42A63">
            <w:pPr>
              <w:spacing w:before="240"/>
              <w:jc w:val="both"/>
              <w:rPr>
                <w:rFonts w:eastAsiaTheme="majorEastAsia"/>
                <w:color w:val="000000" w:themeColor="text1"/>
                <w:lang w:val="sq-AL"/>
              </w:rPr>
            </w:pPr>
            <w:r w:rsidRPr="003C433C">
              <w:rPr>
                <w:rFonts w:eastAsiaTheme="majorEastAsia"/>
                <w:color w:val="000000" w:themeColor="text1"/>
                <w:lang w:val="sq-AL"/>
              </w:rPr>
              <w:t>3</w:t>
            </w:r>
          </w:p>
        </w:tc>
        <w:tc>
          <w:tcPr>
            <w:tcW w:w="1254" w:type="dxa"/>
          </w:tcPr>
          <w:p w14:paraId="480E627B" w14:textId="6DFD420A" w:rsidR="00B42A63" w:rsidRPr="003C433C" w:rsidRDefault="00B42A63" w:rsidP="00B42A63">
            <w:pPr>
              <w:spacing w:before="240"/>
              <w:jc w:val="both"/>
              <w:rPr>
                <w:rFonts w:eastAsiaTheme="majorEastAsia"/>
                <w:color w:val="000000" w:themeColor="text1"/>
                <w:lang w:val="sq-AL"/>
              </w:rPr>
            </w:pPr>
            <w:r w:rsidRPr="003C433C">
              <w:rPr>
                <w:rFonts w:eastAsiaTheme="majorEastAsia"/>
                <w:color w:val="000000" w:themeColor="text1"/>
                <w:lang w:val="sq-AL"/>
              </w:rPr>
              <w:t>1(3)</w:t>
            </w:r>
          </w:p>
        </w:tc>
        <w:tc>
          <w:tcPr>
            <w:tcW w:w="1260" w:type="dxa"/>
          </w:tcPr>
          <w:p w14:paraId="6AE4D9E7" w14:textId="4760A120" w:rsidR="00B42A63" w:rsidRPr="003C433C" w:rsidRDefault="00B42A63" w:rsidP="00B42A63">
            <w:pPr>
              <w:spacing w:before="240"/>
              <w:jc w:val="both"/>
              <w:rPr>
                <w:rFonts w:eastAsiaTheme="majorEastAsia"/>
                <w:color w:val="000000" w:themeColor="text1"/>
                <w:lang w:val="sq-AL"/>
              </w:rPr>
            </w:pPr>
            <w:r w:rsidRPr="003C433C">
              <w:rPr>
                <w:rFonts w:eastAsiaTheme="majorEastAsia"/>
                <w:color w:val="000000" w:themeColor="text1"/>
                <w:lang w:val="sq-AL"/>
              </w:rPr>
              <w:t>2(6)</w:t>
            </w:r>
          </w:p>
        </w:tc>
        <w:tc>
          <w:tcPr>
            <w:tcW w:w="1260" w:type="dxa"/>
          </w:tcPr>
          <w:p w14:paraId="68886F39" w14:textId="4178D29E" w:rsidR="00B42A63" w:rsidRPr="003C433C" w:rsidRDefault="00B42A63" w:rsidP="00B42A63">
            <w:pPr>
              <w:spacing w:before="240"/>
              <w:jc w:val="both"/>
              <w:rPr>
                <w:rFonts w:eastAsiaTheme="majorEastAsia"/>
                <w:color w:val="000000" w:themeColor="text1"/>
                <w:lang w:val="sq-AL"/>
              </w:rPr>
            </w:pPr>
            <w:r w:rsidRPr="003C433C">
              <w:rPr>
                <w:rFonts w:eastAsiaTheme="majorEastAsia"/>
                <w:color w:val="000000" w:themeColor="text1"/>
                <w:lang w:val="sq-AL"/>
              </w:rPr>
              <w:t>4(12)</w:t>
            </w:r>
          </w:p>
        </w:tc>
        <w:tc>
          <w:tcPr>
            <w:tcW w:w="1321" w:type="dxa"/>
          </w:tcPr>
          <w:p w14:paraId="551FC4BC" w14:textId="0C47F398" w:rsidR="00B42A63" w:rsidRPr="003C433C" w:rsidRDefault="00B42A63" w:rsidP="00B42A63">
            <w:pPr>
              <w:spacing w:before="240"/>
              <w:jc w:val="both"/>
              <w:rPr>
                <w:rFonts w:eastAsiaTheme="majorEastAsia"/>
                <w:color w:val="000000" w:themeColor="text1"/>
                <w:lang w:val="sq-AL"/>
              </w:rPr>
            </w:pPr>
            <w:r w:rsidRPr="003C433C">
              <w:rPr>
                <w:rFonts w:eastAsiaTheme="majorEastAsia"/>
                <w:color w:val="000000" w:themeColor="text1"/>
                <w:lang w:val="sq-AL"/>
              </w:rPr>
              <w:t>4(12)</w:t>
            </w:r>
          </w:p>
        </w:tc>
      </w:tr>
      <w:tr w:rsidR="003C433C" w:rsidRPr="003C433C" w14:paraId="1199ECC0" w14:textId="77777777" w:rsidTr="0090499B">
        <w:trPr>
          <w:trHeight w:val="929"/>
        </w:trPr>
        <w:tc>
          <w:tcPr>
            <w:tcW w:w="4135" w:type="dxa"/>
          </w:tcPr>
          <w:p w14:paraId="6FE91005" w14:textId="138CA4B0" w:rsidR="00B42A63" w:rsidRPr="007E0447" w:rsidRDefault="00DD2D41" w:rsidP="00DD2D41">
            <w:pPr>
              <w:spacing w:before="240"/>
              <w:jc w:val="both"/>
              <w:rPr>
                <w:rFonts w:eastAsiaTheme="majorEastAsia"/>
                <w:color w:val="000000" w:themeColor="text1"/>
                <w:lang w:val="sq-AL"/>
              </w:rPr>
            </w:pPr>
            <w:r>
              <w:t xml:space="preserve">Forcimi i integritetit dhe </w:t>
            </w:r>
            <w:r w:rsidRPr="00C0675F">
              <w:t xml:space="preserve">figurës </w:t>
            </w:r>
            <w:r w:rsidR="007E0447" w:rsidRPr="00C0675F">
              <w:t>së noterit</w:t>
            </w:r>
            <w:r w:rsidR="007E0447">
              <w:t xml:space="preserve">, </w:t>
            </w:r>
            <w:r w:rsidR="007E0447" w:rsidRPr="00C0675F">
              <w:t>rritj</w:t>
            </w:r>
            <w:r w:rsidR="007E0447">
              <w:t>a</w:t>
            </w:r>
            <w:r w:rsidR="007E0447" w:rsidRPr="00C0675F">
              <w:t xml:space="preserve"> e cilësisë së shërbimit </w:t>
            </w:r>
            <w:r w:rsidR="007E0447">
              <w:t>notarial, si dhe rritja e besimit të publikut të profesioni i noterit</w:t>
            </w:r>
            <w:r w:rsidR="007E0447" w:rsidRPr="00C0675F">
              <w:t>.</w:t>
            </w:r>
          </w:p>
        </w:tc>
        <w:tc>
          <w:tcPr>
            <w:tcW w:w="816" w:type="dxa"/>
          </w:tcPr>
          <w:p w14:paraId="669FE22D" w14:textId="0B779DF7" w:rsidR="00B42A63" w:rsidRPr="003C433C" w:rsidRDefault="00B42A63" w:rsidP="00B42A63">
            <w:pPr>
              <w:spacing w:before="240"/>
              <w:jc w:val="both"/>
              <w:rPr>
                <w:rFonts w:eastAsiaTheme="majorEastAsia"/>
                <w:color w:val="000000" w:themeColor="text1"/>
                <w:lang w:val="sq-AL"/>
              </w:rPr>
            </w:pPr>
            <w:r w:rsidRPr="003C433C">
              <w:rPr>
                <w:rFonts w:eastAsiaTheme="majorEastAsia"/>
                <w:color w:val="000000" w:themeColor="text1"/>
                <w:lang w:val="sq-AL"/>
              </w:rPr>
              <w:t>3</w:t>
            </w:r>
          </w:p>
        </w:tc>
        <w:tc>
          <w:tcPr>
            <w:tcW w:w="1254" w:type="dxa"/>
          </w:tcPr>
          <w:p w14:paraId="1EB4D003" w14:textId="79341EA2" w:rsidR="00B42A63" w:rsidRPr="003C433C" w:rsidRDefault="00B42A63" w:rsidP="00B42A63">
            <w:pPr>
              <w:spacing w:before="240"/>
              <w:jc w:val="both"/>
              <w:rPr>
                <w:rFonts w:eastAsiaTheme="majorEastAsia"/>
                <w:color w:val="000000" w:themeColor="text1"/>
                <w:lang w:val="sq-AL"/>
              </w:rPr>
            </w:pPr>
            <w:r w:rsidRPr="003C433C">
              <w:rPr>
                <w:rFonts w:eastAsiaTheme="majorEastAsia"/>
                <w:color w:val="000000" w:themeColor="text1"/>
                <w:lang w:val="sq-AL"/>
              </w:rPr>
              <w:t>1(3)</w:t>
            </w:r>
          </w:p>
        </w:tc>
        <w:tc>
          <w:tcPr>
            <w:tcW w:w="1260" w:type="dxa"/>
          </w:tcPr>
          <w:p w14:paraId="199CB9A4" w14:textId="21E3418A" w:rsidR="00B42A63" w:rsidRPr="003C433C" w:rsidRDefault="00B42A63" w:rsidP="00B42A63">
            <w:pPr>
              <w:spacing w:before="240"/>
              <w:jc w:val="both"/>
              <w:rPr>
                <w:rFonts w:eastAsiaTheme="majorEastAsia"/>
                <w:color w:val="000000" w:themeColor="text1"/>
                <w:lang w:val="sq-AL"/>
              </w:rPr>
            </w:pPr>
            <w:r w:rsidRPr="003C433C">
              <w:rPr>
                <w:rFonts w:eastAsiaTheme="majorEastAsia"/>
                <w:color w:val="000000" w:themeColor="text1"/>
                <w:lang w:val="sq-AL"/>
              </w:rPr>
              <w:t>2(6)</w:t>
            </w:r>
          </w:p>
        </w:tc>
        <w:tc>
          <w:tcPr>
            <w:tcW w:w="1260" w:type="dxa"/>
          </w:tcPr>
          <w:p w14:paraId="2C8A850C" w14:textId="7A5AA96B" w:rsidR="00B42A63" w:rsidRPr="003C433C" w:rsidRDefault="00B42A63" w:rsidP="00B42A63">
            <w:pPr>
              <w:spacing w:before="240"/>
              <w:jc w:val="both"/>
              <w:rPr>
                <w:rFonts w:eastAsiaTheme="majorEastAsia"/>
                <w:color w:val="000000" w:themeColor="text1"/>
                <w:lang w:val="sq-AL"/>
              </w:rPr>
            </w:pPr>
            <w:r w:rsidRPr="003C433C">
              <w:rPr>
                <w:rFonts w:eastAsiaTheme="majorEastAsia"/>
                <w:color w:val="000000" w:themeColor="text1"/>
                <w:lang w:val="sq-AL"/>
              </w:rPr>
              <w:t>5(15)</w:t>
            </w:r>
          </w:p>
        </w:tc>
        <w:tc>
          <w:tcPr>
            <w:tcW w:w="1321" w:type="dxa"/>
          </w:tcPr>
          <w:p w14:paraId="591EE73D" w14:textId="3D98B35D" w:rsidR="00B42A63" w:rsidRPr="003C433C" w:rsidRDefault="00B42A63" w:rsidP="00B42A63">
            <w:pPr>
              <w:spacing w:before="240"/>
              <w:jc w:val="both"/>
              <w:rPr>
                <w:rFonts w:eastAsiaTheme="majorEastAsia"/>
                <w:color w:val="000000" w:themeColor="text1"/>
                <w:lang w:val="sq-AL"/>
              </w:rPr>
            </w:pPr>
            <w:r w:rsidRPr="003C433C">
              <w:rPr>
                <w:rFonts w:eastAsiaTheme="majorEastAsia"/>
                <w:color w:val="000000" w:themeColor="text1"/>
                <w:lang w:val="sq-AL"/>
              </w:rPr>
              <w:t>5(15)</w:t>
            </w:r>
          </w:p>
        </w:tc>
      </w:tr>
      <w:tr w:rsidR="003C433C" w:rsidRPr="003C433C" w14:paraId="11B79465" w14:textId="77777777" w:rsidTr="0090499B">
        <w:trPr>
          <w:trHeight w:val="454"/>
        </w:trPr>
        <w:tc>
          <w:tcPr>
            <w:tcW w:w="4135" w:type="dxa"/>
          </w:tcPr>
          <w:p w14:paraId="6B921278" w14:textId="31AD07FE" w:rsidR="00B42A63" w:rsidRPr="003C433C" w:rsidRDefault="00B42A63" w:rsidP="00B42A63">
            <w:pPr>
              <w:spacing w:before="240"/>
              <w:jc w:val="both"/>
              <w:rPr>
                <w:rFonts w:eastAsiaTheme="majorEastAsia"/>
                <w:color w:val="000000" w:themeColor="text1"/>
                <w:lang w:val="sq-AL"/>
              </w:rPr>
            </w:pPr>
            <w:r w:rsidRPr="003C433C">
              <w:rPr>
                <w:rFonts w:eastAsiaTheme="majorEastAsia"/>
                <w:color w:val="000000" w:themeColor="text1"/>
                <w:lang w:val="sq-AL"/>
              </w:rPr>
              <w:t>Kosto efektiviteti</w:t>
            </w:r>
          </w:p>
        </w:tc>
        <w:tc>
          <w:tcPr>
            <w:tcW w:w="816" w:type="dxa"/>
          </w:tcPr>
          <w:p w14:paraId="5DDB83C6" w14:textId="149D6695" w:rsidR="00B42A63" w:rsidRPr="003C433C" w:rsidRDefault="00B42A63" w:rsidP="00B42A63">
            <w:pPr>
              <w:spacing w:before="240"/>
              <w:jc w:val="both"/>
              <w:rPr>
                <w:rFonts w:eastAsiaTheme="majorEastAsia"/>
                <w:color w:val="000000" w:themeColor="text1"/>
                <w:lang w:val="sq-AL"/>
              </w:rPr>
            </w:pPr>
            <w:r w:rsidRPr="003C433C">
              <w:rPr>
                <w:rFonts w:eastAsiaTheme="majorEastAsia"/>
                <w:color w:val="000000" w:themeColor="text1"/>
                <w:lang w:val="sq-AL"/>
              </w:rPr>
              <w:t>4</w:t>
            </w:r>
          </w:p>
        </w:tc>
        <w:tc>
          <w:tcPr>
            <w:tcW w:w="1254" w:type="dxa"/>
          </w:tcPr>
          <w:p w14:paraId="495B1846" w14:textId="0C831446" w:rsidR="00B42A63" w:rsidRPr="003C433C" w:rsidRDefault="00B42A63" w:rsidP="00B42A63">
            <w:pPr>
              <w:spacing w:before="240"/>
              <w:jc w:val="both"/>
              <w:rPr>
                <w:rFonts w:eastAsiaTheme="majorEastAsia"/>
                <w:color w:val="000000" w:themeColor="text1"/>
                <w:lang w:val="sq-AL"/>
              </w:rPr>
            </w:pPr>
            <w:r w:rsidRPr="003C433C">
              <w:rPr>
                <w:rFonts w:eastAsiaTheme="majorEastAsia"/>
                <w:color w:val="000000" w:themeColor="text1"/>
                <w:lang w:val="sq-AL"/>
              </w:rPr>
              <w:t>0 (0)</w:t>
            </w:r>
          </w:p>
        </w:tc>
        <w:tc>
          <w:tcPr>
            <w:tcW w:w="1260" w:type="dxa"/>
          </w:tcPr>
          <w:p w14:paraId="46BF0AFF" w14:textId="576A8B18" w:rsidR="00B42A63" w:rsidRPr="003C433C" w:rsidRDefault="00B42A63" w:rsidP="00B42A63">
            <w:pPr>
              <w:spacing w:before="240"/>
              <w:jc w:val="both"/>
              <w:rPr>
                <w:rFonts w:eastAsiaTheme="majorEastAsia"/>
                <w:color w:val="000000" w:themeColor="text1"/>
                <w:lang w:val="sq-AL"/>
              </w:rPr>
            </w:pPr>
            <w:r w:rsidRPr="003C433C">
              <w:rPr>
                <w:rFonts w:eastAsiaTheme="majorEastAsia"/>
                <w:color w:val="000000" w:themeColor="text1"/>
                <w:lang w:val="sq-AL"/>
              </w:rPr>
              <w:t>1(4)</w:t>
            </w:r>
          </w:p>
        </w:tc>
        <w:tc>
          <w:tcPr>
            <w:tcW w:w="1260" w:type="dxa"/>
          </w:tcPr>
          <w:p w14:paraId="2A15C31D" w14:textId="7D34195A" w:rsidR="00B42A63" w:rsidRPr="003C433C" w:rsidRDefault="00B42A63" w:rsidP="00B42A63">
            <w:pPr>
              <w:spacing w:before="240"/>
              <w:jc w:val="both"/>
              <w:rPr>
                <w:rFonts w:eastAsiaTheme="majorEastAsia"/>
                <w:color w:val="000000" w:themeColor="text1"/>
                <w:lang w:val="sq-AL"/>
              </w:rPr>
            </w:pPr>
            <w:r w:rsidRPr="003C433C">
              <w:rPr>
                <w:rFonts w:eastAsiaTheme="majorEastAsia"/>
                <w:color w:val="000000" w:themeColor="text1"/>
                <w:lang w:val="sq-AL"/>
              </w:rPr>
              <w:t>5(20)</w:t>
            </w:r>
          </w:p>
        </w:tc>
        <w:tc>
          <w:tcPr>
            <w:tcW w:w="1321" w:type="dxa"/>
          </w:tcPr>
          <w:p w14:paraId="1FEAE749" w14:textId="41EF7938" w:rsidR="00B42A63" w:rsidRPr="003C433C" w:rsidRDefault="003C433C" w:rsidP="003C433C">
            <w:pPr>
              <w:spacing w:before="240"/>
              <w:jc w:val="both"/>
              <w:rPr>
                <w:rFonts w:eastAsiaTheme="majorEastAsia"/>
                <w:color w:val="000000" w:themeColor="text1"/>
                <w:lang w:val="sq-AL"/>
              </w:rPr>
            </w:pPr>
            <w:r w:rsidRPr="003C433C">
              <w:rPr>
                <w:rFonts w:eastAsiaTheme="majorEastAsia"/>
                <w:color w:val="000000" w:themeColor="text1"/>
                <w:lang w:val="sq-AL"/>
              </w:rPr>
              <w:t>4</w:t>
            </w:r>
            <w:r w:rsidR="00B42A63" w:rsidRPr="003C433C">
              <w:rPr>
                <w:rFonts w:eastAsiaTheme="majorEastAsia"/>
                <w:color w:val="000000" w:themeColor="text1"/>
                <w:lang w:val="sq-AL"/>
              </w:rPr>
              <w:t>(</w:t>
            </w:r>
            <w:r w:rsidRPr="003C433C">
              <w:rPr>
                <w:rFonts w:eastAsiaTheme="majorEastAsia"/>
                <w:color w:val="000000" w:themeColor="text1"/>
                <w:lang w:val="sq-AL"/>
              </w:rPr>
              <w:t>16</w:t>
            </w:r>
            <w:r w:rsidR="00B42A63" w:rsidRPr="003C433C">
              <w:rPr>
                <w:rFonts w:eastAsiaTheme="majorEastAsia"/>
                <w:color w:val="000000" w:themeColor="text1"/>
                <w:lang w:val="sq-AL"/>
              </w:rPr>
              <w:t>)</w:t>
            </w:r>
          </w:p>
        </w:tc>
      </w:tr>
      <w:tr w:rsidR="003C433C" w:rsidRPr="003C433C" w14:paraId="2E42FB8C" w14:textId="77777777" w:rsidTr="0090499B">
        <w:trPr>
          <w:trHeight w:val="454"/>
        </w:trPr>
        <w:tc>
          <w:tcPr>
            <w:tcW w:w="4135" w:type="dxa"/>
          </w:tcPr>
          <w:p w14:paraId="498DA585" w14:textId="321CE7D0" w:rsidR="00B42A63" w:rsidRPr="003C433C" w:rsidRDefault="00B42A63" w:rsidP="00B42A63">
            <w:pPr>
              <w:spacing w:before="240"/>
              <w:jc w:val="both"/>
              <w:rPr>
                <w:rFonts w:eastAsiaTheme="majorEastAsia"/>
                <w:color w:val="000000" w:themeColor="text1"/>
                <w:lang w:val="sq-AL"/>
              </w:rPr>
            </w:pPr>
            <w:r w:rsidRPr="003C433C">
              <w:rPr>
                <w:rFonts w:eastAsiaTheme="majorEastAsia"/>
                <w:color w:val="000000" w:themeColor="text1"/>
                <w:lang w:val="sq-AL"/>
              </w:rPr>
              <w:t>Pikët</w:t>
            </w:r>
          </w:p>
        </w:tc>
        <w:tc>
          <w:tcPr>
            <w:tcW w:w="816" w:type="dxa"/>
          </w:tcPr>
          <w:p w14:paraId="5A13C990" w14:textId="77777777" w:rsidR="00B42A63" w:rsidRPr="003C433C" w:rsidRDefault="00B42A63" w:rsidP="00B42A63">
            <w:pPr>
              <w:spacing w:before="240"/>
              <w:jc w:val="both"/>
              <w:rPr>
                <w:rFonts w:eastAsiaTheme="majorEastAsia"/>
                <w:color w:val="000000" w:themeColor="text1"/>
                <w:lang w:val="sq-AL"/>
              </w:rPr>
            </w:pPr>
          </w:p>
        </w:tc>
        <w:tc>
          <w:tcPr>
            <w:tcW w:w="1254" w:type="dxa"/>
          </w:tcPr>
          <w:p w14:paraId="442888E1" w14:textId="6AF523EB" w:rsidR="00B42A63" w:rsidRPr="003C433C" w:rsidRDefault="00B42A63" w:rsidP="00B42A63">
            <w:pPr>
              <w:spacing w:before="240"/>
              <w:jc w:val="both"/>
              <w:rPr>
                <w:rFonts w:eastAsiaTheme="majorEastAsia"/>
                <w:color w:val="000000" w:themeColor="text1"/>
                <w:lang w:val="sq-AL"/>
              </w:rPr>
            </w:pPr>
            <w:r w:rsidRPr="003C433C">
              <w:rPr>
                <w:rFonts w:eastAsiaTheme="majorEastAsia"/>
                <w:color w:val="000000" w:themeColor="text1"/>
                <w:lang w:val="sq-AL"/>
              </w:rPr>
              <w:t>9</w:t>
            </w:r>
          </w:p>
        </w:tc>
        <w:tc>
          <w:tcPr>
            <w:tcW w:w="1260" w:type="dxa"/>
          </w:tcPr>
          <w:p w14:paraId="62180B55" w14:textId="6294E344" w:rsidR="00B42A63" w:rsidRPr="003C433C" w:rsidRDefault="00B42A63" w:rsidP="00B42A63">
            <w:pPr>
              <w:spacing w:before="240"/>
              <w:jc w:val="both"/>
              <w:rPr>
                <w:rFonts w:eastAsiaTheme="majorEastAsia"/>
                <w:color w:val="000000" w:themeColor="text1"/>
                <w:lang w:val="sq-AL"/>
              </w:rPr>
            </w:pPr>
            <w:r w:rsidRPr="003C433C">
              <w:rPr>
                <w:rFonts w:eastAsiaTheme="majorEastAsia"/>
                <w:color w:val="000000" w:themeColor="text1"/>
                <w:lang w:val="sq-AL"/>
              </w:rPr>
              <w:t>22</w:t>
            </w:r>
          </w:p>
        </w:tc>
        <w:tc>
          <w:tcPr>
            <w:tcW w:w="1260" w:type="dxa"/>
          </w:tcPr>
          <w:p w14:paraId="4F77B5C9" w14:textId="40CA7044" w:rsidR="00B42A63" w:rsidRPr="003C433C" w:rsidRDefault="00B42A63" w:rsidP="00B42A63">
            <w:pPr>
              <w:spacing w:before="240"/>
              <w:jc w:val="both"/>
              <w:rPr>
                <w:rFonts w:eastAsiaTheme="majorEastAsia"/>
                <w:color w:val="000000" w:themeColor="text1"/>
                <w:lang w:val="sq-AL"/>
              </w:rPr>
            </w:pPr>
            <w:r w:rsidRPr="003C433C">
              <w:rPr>
                <w:rFonts w:eastAsiaTheme="majorEastAsia"/>
                <w:color w:val="000000" w:themeColor="text1"/>
                <w:lang w:val="sq-AL"/>
              </w:rPr>
              <w:t>107</w:t>
            </w:r>
          </w:p>
        </w:tc>
        <w:tc>
          <w:tcPr>
            <w:tcW w:w="1321" w:type="dxa"/>
          </w:tcPr>
          <w:p w14:paraId="3E85CE2A" w14:textId="467D8F98" w:rsidR="00B42A63" w:rsidRPr="003C433C" w:rsidRDefault="003C433C" w:rsidP="00B42A63">
            <w:pPr>
              <w:spacing w:before="240"/>
              <w:jc w:val="both"/>
              <w:rPr>
                <w:rFonts w:eastAsiaTheme="majorEastAsia"/>
                <w:color w:val="000000" w:themeColor="text1"/>
                <w:lang w:val="sq-AL"/>
              </w:rPr>
            </w:pPr>
            <w:r w:rsidRPr="003C433C">
              <w:rPr>
                <w:rFonts w:eastAsiaTheme="majorEastAsia"/>
                <w:color w:val="000000" w:themeColor="text1"/>
                <w:lang w:val="sq-AL"/>
              </w:rPr>
              <w:t>82</w:t>
            </w:r>
          </w:p>
        </w:tc>
      </w:tr>
    </w:tbl>
    <w:p w14:paraId="75D80E0A" w14:textId="65133935" w:rsidR="00563378" w:rsidRPr="00563378" w:rsidRDefault="00563378" w:rsidP="00A928C9">
      <w:pPr>
        <w:spacing w:before="240"/>
        <w:jc w:val="both"/>
        <w:rPr>
          <w:color w:val="808080" w:themeColor="background1" w:themeShade="80"/>
          <w:lang w:val="sq-AL"/>
        </w:rPr>
      </w:pPr>
    </w:p>
    <w:p w14:paraId="6FE167F6" w14:textId="77777777" w:rsidR="002125B7"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lastRenderedPageBreak/>
        <w:t>Çështje të zbatimit</w:t>
      </w:r>
      <w:bookmarkEnd w:id="15"/>
    </w:p>
    <w:sdt>
      <w:sdtPr>
        <w:rPr>
          <w:rFonts w:cs="Times New Roman"/>
          <w:i/>
          <w:sz w:val="24"/>
          <w:szCs w:val="24"/>
          <w:lang w:val="sq-AL"/>
        </w:rPr>
        <w:id w:val="686721506"/>
        <w:lock w:val="contentLocked"/>
        <w:placeholder>
          <w:docPart w:val="DefaultPlaceholder_1081868574"/>
        </w:placeholder>
      </w:sdtPr>
      <w:sdtEndPr>
        <w:rPr>
          <w:i w:val="0"/>
        </w:rPr>
      </w:sdtEndPr>
      <w:sdtContent>
        <w:p w14:paraId="60CA5B27" w14:textId="77777777" w:rsidR="0097570D" w:rsidRPr="0032145B" w:rsidRDefault="0097570D" w:rsidP="009D13F4">
          <w:pPr>
            <w:pStyle w:val="Style1-BodyText"/>
            <w:numPr>
              <w:ilvl w:val="0"/>
              <w:numId w:val="25"/>
            </w:numPr>
            <w:spacing w:after="0" w:line="276" w:lineRule="auto"/>
            <w:rPr>
              <w:rFonts w:cs="Times New Roman"/>
              <w:i/>
              <w:sz w:val="24"/>
              <w:szCs w:val="24"/>
              <w:lang w:val="sq-AL"/>
            </w:rPr>
          </w:pPr>
          <w:r w:rsidRPr="0032145B">
            <w:rPr>
              <w:rFonts w:cs="Times New Roman"/>
              <w:i/>
              <w:sz w:val="24"/>
              <w:szCs w:val="24"/>
              <w:lang w:val="sq-AL"/>
            </w:rPr>
            <w:t>Shpjegoni se cila strukturë do të jetë përgjegjëse për zbatimin e opsionit të zgjedhur.</w:t>
          </w:r>
        </w:p>
        <w:p w14:paraId="4E17D0BE" w14:textId="77777777" w:rsidR="0097570D" w:rsidRPr="0032145B" w:rsidRDefault="0097570D" w:rsidP="009D13F4">
          <w:pPr>
            <w:pStyle w:val="Style1-BodyText"/>
            <w:numPr>
              <w:ilvl w:val="0"/>
              <w:numId w:val="25"/>
            </w:numPr>
            <w:spacing w:after="0" w:line="276" w:lineRule="auto"/>
            <w:rPr>
              <w:rFonts w:cs="Times New Roman"/>
              <w:i/>
              <w:sz w:val="24"/>
              <w:szCs w:val="24"/>
              <w:lang w:val="sq-AL"/>
            </w:rPr>
          </w:pPr>
          <w:r w:rsidRPr="0032145B">
            <w:rPr>
              <w:rFonts w:cs="Times New Roman"/>
              <w:i/>
              <w:sz w:val="24"/>
              <w:szCs w:val="24"/>
              <w:lang w:val="sq-AL"/>
            </w:rPr>
            <w:t>Shpjegoni pengesat e mundshme për zbatimin e opsionit të zgjedhur.</w:t>
          </w:r>
        </w:p>
        <w:p w14:paraId="71CF11AC" w14:textId="1D405EA9" w:rsidR="0097570D" w:rsidRPr="00325A1F" w:rsidRDefault="0097570D" w:rsidP="009D13F4">
          <w:pPr>
            <w:pStyle w:val="Style1-BodyText"/>
            <w:numPr>
              <w:ilvl w:val="0"/>
              <w:numId w:val="25"/>
            </w:numPr>
            <w:spacing w:after="0" w:line="276" w:lineRule="auto"/>
            <w:rPr>
              <w:rFonts w:cs="Times New Roman"/>
              <w:sz w:val="24"/>
              <w:szCs w:val="24"/>
              <w:lang w:val="sq-AL"/>
            </w:rPr>
          </w:pPr>
          <w:r w:rsidRPr="0032145B">
            <w:rPr>
              <w:rFonts w:cs="Times New Roman"/>
              <w:i/>
              <w:sz w:val="24"/>
              <w:szCs w:val="24"/>
              <w:lang w:val="sq-AL"/>
            </w:rPr>
            <w:t>Përshkruani masat që do të ndërmerren gjatë zbatimit për të arritur qëllimet e politikës.</w:t>
          </w:r>
        </w:p>
      </w:sdtContent>
    </w:sdt>
    <w:bookmarkStart w:id="16" w:name="_Toc465267003" w:displacedByCustomXml="next"/>
    <w:sdt>
      <w:sdtPr>
        <w:rPr>
          <w:rFonts w:eastAsiaTheme="majorEastAsia"/>
        </w:rPr>
        <w:id w:val="-1991320087"/>
        <w:placeholder>
          <w:docPart w:val="C8F0C73A25AD4069881E7BB32D9AC3FF"/>
        </w:placeholder>
      </w:sdtPr>
      <w:sdtEndPr/>
      <w:sdtContent>
        <w:p w14:paraId="28E7F091" w14:textId="48B18ED8" w:rsidR="00A4007F" w:rsidRDefault="00A4007F" w:rsidP="00A4007F">
          <w:pPr>
            <w:spacing w:after="160"/>
            <w:jc w:val="both"/>
            <w:rPr>
              <w:szCs w:val="24"/>
            </w:rPr>
          </w:pPr>
          <w:r>
            <w:rPr>
              <w:szCs w:val="24"/>
            </w:rPr>
            <w:t>Zbatimi do të kryhet nga të interesuarit për noter, kandidatët për noter, zëvendësnoterët, noterët, strukturat përgjegjëse pranë Ministrisë</w:t>
          </w:r>
          <w:r w:rsidRPr="00FE4BAA">
            <w:rPr>
              <w:szCs w:val="24"/>
            </w:rPr>
            <w:t xml:space="preserve"> e Drejtësisë, Dhoma Kombëtare e Noterëve</w:t>
          </w:r>
          <w:r>
            <w:rPr>
              <w:szCs w:val="24"/>
            </w:rPr>
            <w:t>, Bordi Disiplinor,</w:t>
          </w:r>
          <w:r w:rsidRPr="00FE4BAA">
            <w:rPr>
              <w:szCs w:val="24"/>
            </w:rPr>
            <w:t xml:space="preserve"> Qendra Shqiptare e Trajnimit të Noterëve</w:t>
          </w:r>
          <w:r w:rsidR="007E0447">
            <w:rPr>
              <w:szCs w:val="24"/>
            </w:rPr>
            <w:t>,</w:t>
          </w:r>
          <w:r>
            <w:rPr>
              <w:szCs w:val="24"/>
            </w:rPr>
            <w:t xml:space="preserve"> Drejtoria e Përgjithshme e Parandalimit të Pastrimit të Parave, si dhe çdo </w:t>
          </w:r>
          <w:r w:rsidR="007E0447">
            <w:rPr>
              <w:szCs w:val="24"/>
            </w:rPr>
            <w:t xml:space="preserve">institucion apo </w:t>
          </w:r>
          <w:r>
            <w:rPr>
              <w:szCs w:val="24"/>
            </w:rPr>
            <w:t xml:space="preserve">subjekt tjetër të cilit </w:t>
          </w:r>
          <w:r w:rsidR="001469CA">
            <w:rPr>
              <w:szCs w:val="24"/>
            </w:rPr>
            <w:t>do t’</w:t>
          </w:r>
          <w:r>
            <w:rPr>
              <w:szCs w:val="24"/>
            </w:rPr>
            <w:t>i n</w:t>
          </w:r>
          <w:r w:rsidR="001469CA">
            <w:rPr>
              <w:szCs w:val="24"/>
            </w:rPr>
            <w:t>garkohen të drejta dhe detyrime</w:t>
          </w:r>
          <w:r>
            <w:rPr>
              <w:szCs w:val="24"/>
            </w:rPr>
            <w:t xml:space="preserve">. </w:t>
          </w:r>
        </w:p>
        <w:p w14:paraId="6504B287" w14:textId="77777777" w:rsidR="00A4007F" w:rsidRDefault="00A4007F" w:rsidP="00A4007F">
          <w:pPr>
            <w:spacing w:after="160"/>
            <w:jc w:val="both"/>
            <w:rPr>
              <w:szCs w:val="24"/>
            </w:rPr>
          </w:pPr>
          <w:r>
            <w:rPr>
              <w:szCs w:val="24"/>
            </w:rPr>
            <w:t>Pengesat mundshme për zbatimin e opsionit të zgjedhur lidhen me:</w:t>
          </w:r>
        </w:p>
        <w:p w14:paraId="0041BEA9" w14:textId="77777777" w:rsidR="00A4007F" w:rsidRDefault="00A4007F" w:rsidP="00A4007F">
          <w:pPr>
            <w:spacing w:after="160"/>
            <w:jc w:val="both"/>
            <w:rPr>
              <w:szCs w:val="24"/>
            </w:rPr>
          </w:pPr>
          <w:r>
            <w:rPr>
              <w:szCs w:val="24"/>
            </w:rPr>
            <w:t>- vështirësinë e pranimit të këtyre ndryshimeve për shkak të volumit të madh të punës që duhet kryer dhe kompleksitetit të verifikimeve;</w:t>
          </w:r>
        </w:p>
        <w:p w14:paraId="753C1629" w14:textId="77777777" w:rsidR="00A4007F" w:rsidRDefault="00A4007F" w:rsidP="00A4007F">
          <w:pPr>
            <w:spacing w:after="160"/>
            <w:jc w:val="both"/>
            <w:rPr>
              <w:szCs w:val="24"/>
            </w:rPr>
          </w:pPr>
          <w:r>
            <w:rPr>
              <w:szCs w:val="24"/>
            </w:rPr>
            <w:t>- zbatimin në praktikë për shkak të nevojës për të kryer të gjitha verifikimet e nevojshme për te garantuar integritetin e subjekteve dhe hetimin e shkeljeve të ligjit;</w:t>
          </w:r>
        </w:p>
        <w:p w14:paraId="1D2B08A7" w14:textId="0EA8A58A" w:rsidR="00A4007F" w:rsidRDefault="00A4007F" w:rsidP="00A4007F">
          <w:pPr>
            <w:spacing w:after="160"/>
            <w:jc w:val="both"/>
            <w:rPr>
              <w:szCs w:val="24"/>
            </w:rPr>
          </w:pPr>
          <w:r>
            <w:rPr>
              <w:szCs w:val="24"/>
            </w:rPr>
            <w:t>- kapacitetet e nevojshme nj</w:t>
          </w:r>
          <w:r w:rsidR="001469CA">
            <w:rPr>
              <w:szCs w:val="24"/>
            </w:rPr>
            <w:t>e</w:t>
          </w:r>
          <w:r>
            <w:rPr>
              <w:szCs w:val="24"/>
            </w:rPr>
            <w:t>rëzore dhe financiare që do të angazhohen për kryerjen e verifikimeve;</w:t>
          </w:r>
        </w:p>
        <w:p w14:paraId="16F7A3CC" w14:textId="6C1E8C90" w:rsidR="00A4007F" w:rsidRDefault="00A4007F" w:rsidP="00A4007F">
          <w:pPr>
            <w:spacing w:after="160"/>
            <w:jc w:val="both"/>
            <w:rPr>
              <w:szCs w:val="24"/>
            </w:rPr>
          </w:pPr>
          <w:r>
            <w:rPr>
              <w:szCs w:val="24"/>
            </w:rPr>
            <w:t>- mundësisë për aksesuar të gjitha të dhënat e nevojshme që nevojiten për marrjen e një vendimi</w:t>
          </w:r>
          <w:r w:rsidR="007C7DFA">
            <w:rPr>
              <w:szCs w:val="24"/>
            </w:rPr>
            <w:t>;</w:t>
          </w:r>
        </w:p>
        <w:p w14:paraId="35537445" w14:textId="6FE84043" w:rsidR="00A4007F" w:rsidRDefault="00A4007F" w:rsidP="00A4007F">
          <w:pPr>
            <w:spacing w:after="160"/>
            <w:jc w:val="both"/>
            <w:rPr>
              <w:szCs w:val="24"/>
            </w:rPr>
          </w:pPr>
          <w:r>
            <w:rPr>
              <w:szCs w:val="24"/>
            </w:rPr>
            <w:t>- kompleksitetin që paraqesin hetimet e çështjeve të pastrimit të parave dhe financi</w:t>
          </w:r>
          <w:r w:rsidR="001469CA">
            <w:rPr>
              <w:szCs w:val="24"/>
            </w:rPr>
            <w:t>mit të terrorizmit të cilat p</w:t>
          </w:r>
          <w:r>
            <w:rPr>
              <w:szCs w:val="24"/>
            </w:rPr>
            <w:t>ërbëhen nga veprime të vështira për t’u zbuluar dhe kërkojnë hetime të thelluara;</w:t>
          </w:r>
        </w:p>
        <w:p w14:paraId="7630E29C" w14:textId="3228C6EC" w:rsidR="00563378" w:rsidRDefault="00A4007F" w:rsidP="002713E6">
          <w:pPr>
            <w:spacing w:after="160"/>
            <w:jc w:val="both"/>
            <w:rPr>
              <w:b/>
              <w:szCs w:val="24"/>
              <w:lang w:val="sq-AL"/>
            </w:rPr>
          </w:pPr>
          <w:r>
            <w:rPr>
              <w:szCs w:val="24"/>
            </w:rPr>
            <w:t xml:space="preserve">Masat që do të ndërmerren gjatë zbatimit në praktikë janë hartimi </w:t>
          </w:r>
          <w:r w:rsidR="002A46E0">
            <w:rPr>
              <w:szCs w:val="24"/>
            </w:rPr>
            <w:t>ose</w:t>
          </w:r>
          <w:r>
            <w:rPr>
              <w:szCs w:val="24"/>
            </w:rPr>
            <w:t xml:space="preserve"> ndryshimi i akteve nënligjore për të normuar mënyrën e kryerjes së verifikimeve mbi integritetin e figurës së subjekteve, bashkëpunimi dhe shkëmbimi i informacionit me të gjithë institucionet që mund të disponojnë të dhëna që i vlejnë strukturave përgjegjëse për zbatim, kryerja e inspektimeve dhe hetimeve në rastet kur paraqiten të dhëna të cilat mund sjellin si pasojë cenimin e integritetin profesional të zëvendësnoterëvë dhe noterëve apo pezullimin ose heqjen e licencës.</w:t>
          </w:r>
          <w:r w:rsidR="002713E6" w:rsidRPr="005061D6" w:rsidDel="002713E6">
            <w:rPr>
              <w:szCs w:val="24"/>
            </w:rPr>
            <w:t xml:space="preserve"> </w:t>
          </w:r>
        </w:p>
      </w:sdtContent>
    </w:sdt>
    <w:p w14:paraId="0616B3DB" w14:textId="77777777" w:rsidR="002125B7" w:rsidRPr="00325A1F" w:rsidRDefault="002125B7" w:rsidP="009D13F4">
      <w:pPr>
        <w:pStyle w:val="Style1-BodyText"/>
        <w:spacing w:before="240" w:after="0" w:line="276" w:lineRule="auto"/>
        <w:rPr>
          <w:rFonts w:cs="Times New Roman"/>
          <w:b/>
          <w:sz w:val="24"/>
          <w:szCs w:val="24"/>
          <w:lang w:val="sq-AL"/>
        </w:rPr>
      </w:pPr>
      <w:r w:rsidRPr="00325A1F">
        <w:rPr>
          <w:rFonts w:cs="Times New Roman"/>
          <w:b/>
          <w:sz w:val="24"/>
          <w:szCs w:val="24"/>
          <w:lang w:val="sq-AL"/>
        </w:rPr>
        <w:t>Faza e monitorimit dhe vlerësimit</w:t>
      </w:r>
    </w:p>
    <w:sdt>
      <w:sdtPr>
        <w:rPr>
          <w:rFonts w:cs="Times New Roman"/>
          <w:b/>
          <w:i/>
          <w:sz w:val="24"/>
          <w:szCs w:val="24"/>
          <w:lang w:val="sq-AL"/>
        </w:rPr>
        <w:id w:val="1311365965"/>
        <w:lock w:val="contentLocked"/>
        <w:placeholder>
          <w:docPart w:val="DefaultPlaceholder_1081868574"/>
        </w:placeholder>
      </w:sdtPr>
      <w:sdtEndPr/>
      <w:sdtContent>
        <w:p w14:paraId="2A98D13E" w14:textId="77777777" w:rsidR="009E64A4" w:rsidRPr="0032145B" w:rsidRDefault="009E64A4" w:rsidP="009D13F4">
          <w:pPr>
            <w:pStyle w:val="Style1-BodyText"/>
            <w:numPr>
              <w:ilvl w:val="0"/>
              <w:numId w:val="25"/>
            </w:numPr>
            <w:spacing w:after="0" w:line="276" w:lineRule="auto"/>
            <w:rPr>
              <w:rFonts w:cs="Times New Roman"/>
              <w:i/>
              <w:sz w:val="24"/>
              <w:szCs w:val="24"/>
              <w:lang w:val="sq-AL"/>
            </w:rPr>
          </w:pPr>
          <w:r w:rsidRPr="0032145B">
            <w:rPr>
              <w:rFonts w:cs="Times New Roman"/>
              <w:i/>
              <w:sz w:val="24"/>
              <w:szCs w:val="24"/>
              <w:lang w:val="sq-AL"/>
            </w:rPr>
            <w:t>Jepni një përshkrim të përmbledhur të masave të monitorimit dhe të vlerësimit.</w:t>
          </w:r>
        </w:p>
        <w:p w14:paraId="2FFE9BEC" w14:textId="48E747C8" w:rsidR="002125B7" w:rsidRPr="0032145B" w:rsidRDefault="009E64A4" w:rsidP="009D13F4">
          <w:pPr>
            <w:pStyle w:val="Style1-BodyText"/>
            <w:numPr>
              <w:ilvl w:val="0"/>
              <w:numId w:val="25"/>
            </w:numPr>
            <w:spacing w:after="0" w:line="276" w:lineRule="auto"/>
            <w:rPr>
              <w:rFonts w:cs="Times New Roman"/>
              <w:i/>
              <w:sz w:val="24"/>
              <w:szCs w:val="24"/>
              <w:lang w:val="sq-AL"/>
            </w:rPr>
          </w:pPr>
          <w:r w:rsidRPr="0032145B">
            <w:rPr>
              <w:rFonts w:cs="Times New Roman"/>
              <w:i/>
              <w:sz w:val="24"/>
              <w:szCs w:val="24"/>
              <w:lang w:val="sq-AL"/>
            </w:rPr>
            <w:t>Identifikoni kriteret/treguesit për të matur arritjen e objektivave ose progresin drejt tyre.</w:t>
          </w:r>
        </w:p>
      </w:sdtContent>
    </w:sdt>
    <w:bookmarkEnd w:id="16" w:displacedByCustomXml="next"/>
    <w:sdt>
      <w:sdtPr>
        <w:rPr>
          <w:rFonts w:eastAsiaTheme="majorEastAsia"/>
          <w:color w:val="808080" w:themeColor="background1" w:themeShade="80"/>
        </w:rPr>
        <w:id w:val="-521482689"/>
        <w:placeholder>
          <w:docPart w:val="346DADE0E4B948EEB018BC06B86F97D7"/>
        </w:placeholder>
      </w:sdtPr>
      <w:sdtEndPr/>
      <w:sdtContent>
        <w:p w14:paraId="76DEA534" w14:textId="009F67B5" w:rsidR="00A4007F" w:rsidRDefault="00A4007F" w:rsidP="00A4007F">
          <w:pPr>
            <w:spacing w:before="240" w:line="276" w:lineRule="auto"/>
            <w:jc w:val="both"/>
            <w:rPr>
              <w:rFonts w:eastAsiaTheme="majorEastAsia"/>
              <w:color w:val="000000" w:themeColor="text1"/>
            </w:rPr>
          </w:pPr>
          <w:r>
            <w:rPr>
              <w:rFonts w:eastAsiaTheme="majorEastAsia"/>
              <w:color w:val="000000" w:themeColor="text1"/>
            </w:rPr>
            <w:t>Zbatimi i masave të parashikuara në këtë projektligj do të monitorohet nga strukturat përkatëse në Ministrinë e Drejtësi</w:t>
          </w:r>
          <w:r w:rsidR="008D0865">
            <w:rPr>
              <w:rFonts w:eastAsiaTheme="majorEastAsia"/>
              <w:color w:val="000000" w:themeColor="text1"/>
            </w:rPr>
            <w:t>s</w:t>
          </w:r>
          <w:r>
            <w:rPr>
              <w:rFonts w:eastAsiaTheme="majorEastAsia"/>
              <w:color w:val="000000" w:themeColor="text1"/>
            </w:rPr>
            <w:t>ë, Drejtoria e Përgjithshme e Parandalimit të Pastrimit të Parave</w:t>
          </w:r>
          <w:r w:rsidR="002A46E0">
            <w:rPr>
              <w:rFonts w:eastAsiaTheme="majorEastAsia"/>
              <w:color w:val="000000" w:themeColor="text1"/>
            </w:rPr>
            <w:t>,</w:t>
          </w:r>
          <w:r>
            <w:rPr>
              <w:rFonts w:eastAsiaTheme="majorEastAsia"/>
              <w:color w:val="000000" w:themeColor="text1"/>
            </w:rPr>
            <w:t xml:space="preserve"> si dhe nga institucionet ndërkombëtare</w:t>
          </w:r>
          <w:r w:rsidR="008D0865">
            <w:rPr>
              <w:rFonts w:eastAsiaTheme="majorEastAsia"/>
              <w:color w:val="000000" w:themeColor="text1"/>
            </w:rPr>
            <w:t xml:space="preserve"> që monitorojnë ecurinë e zbatimit të këtyre masave apo që paraqesin raporte mbi luftën kundër kriminalitetit apo pastrimit të parave.</w:t>
          </w:r>
        </w:p>
        <w:p w14:paraId="5674AD7B" w14:textId="77777777" w:rsidR="00A4007F" w:rsidRDefault="00A4007F" w:rsidP="00A4007F">
          <w:pPr>
            <w:spacing w:before="240" w:line="276" w:lineRule="auto"/>
            <w:jc w:val="both"/>
            <w:rPr>
              <w:rFonts w:eastAsiaTheme="majorEastAsia"/>
              <w:color w:val="000000" w:themeColor="text1"/>
            </w:rPr>
          </w:pPr>
          <w:r>
            <w:rPr>
              <w:rFonts w:eastAsiaTheme="majorEastAsia"/>
              <w:color w:val="000000" w:themeColor="text1"/>
            </w:rPr>
            <w:t>Treguesit për matjen e arritjes së objektivave ose progresin e tyre janë:</w:t>
          </w:r>
        </w:p>
        <w:p w14:paraId="55302F9C" w14:textId="77777777" w:rsidR="00A4007F" w:rsidRDefault="00A4007F" w:rsidP="00A4007F">
          <w:pPr>
            <w:spacing w:line="276" w:lineRule="auto"/>
            <w:jc w:val="both"/>
            <w:rPr>
              <w:rFonts w:eastAsiaTheme="majorEastAsia"/>
              <w:color w:val="000000" w:themeColor="text1"/>
            </w:rPr>
          </w:pPr>
          <w:r>
            <w:rPr>
              <w:rFonts w:eastAsiaTheme="majorEastAsia"/>
              <w:color w:val="000000" w:themeColor="text1"/>
            </w:rPr>
            <w:t>1. Raportet e FATF/MONEYVAL;</w:t>
          </w:r>
        </w:p>
        <w:p w14:paraId="349F4B0A" w14:textId="77777777" w:rsidR="00A4007F" w:rsidRDefault="00A4007F" w:rsidP="00A4007F">
          <w:pPr>
            <w:spacing w:line="276" w:lineRule="auto"/>
            <w:jc w:val="both"/>
            <w:rPr>
              <w:rFonts w:eastAsiaTheme="majorEastAsia"/>
              <w:color w:val="000000" w:themeColor="text1"/>
            </w:rPr>
          </w:pPr>
          <w:r>
            <w:rPr>
              <w:rFonts w:eastAsiaTheme="majorEastAsia"/>
              <w:color w:val="000000" w:themeColor="text1"/>
            </w:rPr>
            <w:t>2. Nxjerrja e Shqipërsië nga lista “gri”;</w:t>
          </w:r>
        </w:p>
        <w:p w14:paraId="5E0E9087" w14:textId="3FCCD2CD" w:rsidR="00A4007F" w:rsidRDefault="00A4007F" w:rsidP="00A4007F">
          <w:pPr>
            <w:spacing w:line="276" w:lineRule="auto"/>
            <w:jc w:val="both"/>
            <w:rPr>
              <w:rFonts w:eastAsiaTheme="majorEastAsia"/>
              <w:color w:val="000000" w:themeColor="text1"/>
            </w:rPr>
          </w:pPr>
          <w:r>
            <w:rPr>
              <w:rFonts w:eastAsiaTheme="majorEastAsia"/>
              <w:color w:val="000000" w:themeColor="text1"/>
            </w:rPr>
            <w:t>3. Numri i rasteve të refuzimit të licencimit për shkak të cenimit të integritetit profesional;</w:t>
          </w:r>
        </w:p>
        <w:p w14:paraId="6FCB7956" w14:textId="2EBFF0AE" w:rsidR="00A4007F" w:rsidRDefault="00A4007F" w:rsidP="00A4007F">
          <w:pPr>
            <w:spacing w:line="276" w:lineRule="auto"/>
            <w:jc w:val="both"/>
            <w:rPr>
              <w:rFonts w:eastAsiaTheme="majorEastAsia"/>
              <w:color w:val="000000" w:themeColor="text1"/>
            </w:rPr>
          </w:pPr>
          <w:r>
            <w:rPr>
              <w:rFonts w:eastAsiaTheme="majorEastAsia"/>
              <w:color w:val="000000" w:themeColor="text1"/>
            </w:rPr>
            <w:t xml:space="preserve">4. Numri i rasteve të pezullimit dhe heqjes së licencave për shkak </w:t>
          </w:r>
          <w:r w:rsidR="002713E6">
            <w:rPr>
              <w:rFonts w:eastAsiaTheme="majorEastAsia"/>
              <w:color w:val="000000" w:themeColor="text1"/>
            </w:rPr>
            <w:t>të kërkesës së autoritetit përgjegjës (DPPPP) për revokim të licences, cenimit të integritetit profesional, përfshirjes n</w:t>
          </w:r>
          <w:r w:rsidR="002713E6" w:rsidRPr="000F567D">
            <w:rPr>
              <w:szCs w:val="24"/>
            </w:rPr>
            <w:t xml:space="preserve">ë listën e personave të shpallur </w:t>
          </w:r>
          <w:r w:rsidR="002713E6" w:rsidRPr="000F567D">
            <w:rPr>
              <w:color w:val="212121"/>
              <w:szCs w:val="24"/>
            </w:rPr>
            <w:t>sipas legjislacionit në fuqi për masat kundër financimit të terrorizmit</w:t>
          </w:r>
          <w:r w:rsidR="002713E6" w:rsidDel="002713E6">
            <w:rPr>
              <w:rFonts w:eastAsiaTheme="majorEastAsia"/>
              <w:color w:val="000000" w:themeColor="text1"/>
            </w:rPr>
            <w:t xml:space="preserve"> </w:t>
          </w:r>
          <w:r>
            <w:rPr>
              <w:rFonts w:eastAsiaTheme="majorEastAsia"/>
              <w:color w:val="000000" w:themeColor="text1"/>
            </w:rPr>
            <w:t>;</w:t>
          </w:r>
        </w:p>
        <w:p w14:paraId="26A79D81" w14:textId="754302B6" w:rsidR="002125B7" w:rsidRPr="00325A1F" w:rsidRDefault="00A4007F" w:rsidP="002713E6">
          <w:pPr>
            <w:spacing w:line="276" w:lineRule="auto"/>
            <w:jc w:val="both"/>
            <w:rPr>
              <w:b/>
              <w:szCs w:val="24"/>
              <w:lang w:val="sq-AL"/>
            </w:rPr>
          </w:pPr>
          <w:r>
            <w:rPr>
              <w:rFonts w:eastAsiaTheme="majorEastAsia"/>
              <w:color w:val="000000" w:themeColor="text1"/>
            </w:rPr>
            <w:t>5. Rritja e rasteve të referimeve nga ana e zëvendësnoterëve dhe noterëve në institucionet përgjegjës kur kanë dyshime për kryerjen e veprimeve që synojnë pastrimin e parave.</w:t>
          </w:r>
        </w:p>
      </w:sdtContent>
    </w:sdt>
    <w:p w14:paraId="009A219A" w14:textId="77777777" w:rsidR="00225F7F" w:rsidRDefault="00225F7F" w:rsidP="009D13F4">
      <w:pPr>
        <w:spacing w:line="276" w:lineRule="auto"/>
        <w:jc w:val="both"/>
        <w:rPr>
          <w:b/>
          <w:szCs w:val="24"/>
          <w:lang w:val="sq-AL"/>
        </w:rPr>
        <w:sectPr w:rsidR="00225F7F" w:rsidSect="00F219AD">
          <w:headerReference w:type="even" r:id="rId8"/>
          <w:footerReference w:type="default" r:id="rId9"/>
          <w:footnotePr>
            <w:numRestart w:val="eachSect"/>
          </w:footnotePr>
          <w:type w:val="continuous"/>
          <w:pgSz w:w="11907" w:h="16840" w:code="9"/>
          <w:pgMar w:top="680" w:right="851" w:bottom="680" w:left="851" w:header="284" w:footer="284" w:gutter="0"/>
          <w:cols w:space="708"/>
          <w:docGrid w:linePitch="360"/>
        </w:sectPr>
      </w:pPr>
    </w:p>
    <w:p w14:paraId="075225E0" w14:textId="77777777" w:rsidR="002125B7" w:rsidRPr="00325A1F" w:rsidRDefault="002125B7" w:rsidP="009D13F4">
      <w:pPr>
        <w:spacing w:line="276" w:lineRule="auto"/>
        <w:jc w:val="both"/>
        <w:rPr>
          <w:szCs w:val="24"/>
          <w:lang w:val="sq-AL"/>
        </w:rPr>
      </w:pPr>
      <w:r w:rsidRPr="00325A1F">
        <w:rPr>
          <w:b/>
          <w:szCs w:val="24"/>
          <w:lang w:val="sq-AL"/>
        </w:rPr>
        <w:lastRenderedPageBreak/>
        <w:t>Raporti i vlerësimit të ndikimit - Shtojca 2/a</w:t>
      </w:r>
    </w:p>
    <w:p w14:paraId="7583A4D7" w14:textId="77777777" w:rsidR="002125B7" w:rsidRPr="00325A1F" w:rsidRDefault="002125B7" w:rsidP="009D13F4">
      <w:pPr>
        <w:spacing w:line="276" w:lineRule="auto"/>
        <w:rPr>
          <w:rStyle w:val="Strong"/>
          <w:b w:val="0"/>
          <w:szCs w:val="24"/>
          <w:lang w:val="sq-AL"/>
        </w:rPr>
      </w:pPr>
    </w:p>
    <w:p w14:paraId="2B547A66" w14:textId="7627162A" w:rsidR="00225F7F" w:rsidRPr="00B85EAB" w:rsidRDefault="002125B7" w:rsidP="009F625C">
      <w:pPr>
        <w:spacing w:line="276" w:lineRule="auto"/>
        <w:rPr>
          <w:lang w:val="sq-AL"/>
        </w:rPr>
      </w:pPr>
      <w:r w:rsidRPr="00325A1F">
        <w:rPr>
          <w:rStyle w:val="Strong"/>
          <w:i/>
          <w:szCs w:val="24"/>
          <w:lang w:val="sq-AL"/>
        </w:rPr>
        <w:t>Tabela: Vlera aktuale neto në total (VAN) - kostot dhe përfitimet me vlerë monetare të përcaktuar në milionë lekë e zbritur për 10 vjet (Vlera aktuale e kostos dhe vlera aktuale e përfitimit); krahasuar me status quo-në</w:t>
      </w:r>
      <w:r w:rsidRPr="00325A1F">
        <w:rPr>
          <w:rStyle w:val="Strong"/>
          <w:szCs w:val="24"/>
          <w:lang w:val="sq-AL"/>
        </w:rPr>
        <w:t xml:space="preserve">.    </w:t>
      </w:r>
      <w:r w:rsidR="00225F7F" w:rsidRPr="00225F7F">
        <w:rPr>
          <w:rStyle w:val="Strong"/>
          <w:szCs w:val="24"/>
          <w:lang w:val="sq-AL"/>
        </w:rPr>
        <w:fldChar w:fldCharType="begin"/>
      </w:r>
      <w:r w:rsidR="00225F7F" w:rsidRPr="00225F7F">
        <w:rPr>
          <w:rStyle w:val="Strong"/>
          <w:szCs w:val="24"/>
          <w:lang w:val="sq-AL"/>
        </w:rPr>
        <w:instrText xml:space="preserve"> LINK Excel.SheetBinaryMacroEnabled.12 "C:\\Users\\nako\\Downloads\\Shembull i llogaritjes se Costo  perfitimeve  te RIAs - CBA calculation alb.xlsb" "Tabela Perfundimtare !R2C1:R21C11" \a \f 5 \h  \* MERGEFORMAT </w:instrText>
      </w:r>
      <w:r w:rsidR="00225F7F" w:rsidRPr="00225F7F">
        <w:rPr>
          <w:rStyle w:val="Strong"/>
          <w:szCs w:val="24"/>
          <w:lang w:val="sq-AL"/>
        </w:rPr>
        <w:fldChar w:fldCharType="end"/>
      </w:r>
    </w:p>
    <w:p w14:paraId="0AAA9D52" w14:textId="75985F22" w:rsidR="00E139C5" w:rsidRPr="00B85EAB" w:rsidRDefault="009F625C" w:rsidP="009D13F4">
      <w:pPr>
        <w:spacing w:line="276" w:lineRule="auto"/>
        <w:rPr>
          <w:lang w:val="sq-AL"/>
        </w:rPr>
      </w:pPr>
      <w:r>
        <w:rPr>
          <w:b/>
          <w:szCs w:val="24"/>
          <w:lang w:val="sq-AL"/>
        </w:rPr>
        <w:fldChar w:fldCharType="begin"/>
      </w:r>
      <w:r>
        <w:rPr>
          <w:b/>
          <w:szCs w:val="24"/>
          <w:lang w:val="sq-AL"/>
        </w:rPr>
        <w:instrText xml:space="preserve"> LINK Excel.SheetBinaryMacroEnabled.12 "C:\\Users\\nako\\Downloads\\Shembull i llogaritjes se Costo  perfitimeve  te RIAs - CBA calculation alb.xlsb" "Tabela Perfundimtare !R2C1:R22C11" \a \f 5 \h  \* MERGEFORMAT </w:instrText>
      </w:r>
      <w:r>
        <w:rPr>
          <w:b/>
          <w:szCs w:val="24"/>
          <w:lang w:val="sq-AL"/>
        </w:rPr>
        <w:fldChar w:fldCharType="separate"/>
      </w:r>
    </w:p>
    <w:p w14:paraId="4058DD52" w14:textId="535BE891" w:rsidR="00A36183" w:rsidRDefault="009F625C" w:rsidP="009D13F4">
      <w:pPr>
        <w:spacing w:line="276" w:lineRule="auto"/>
      </w:pPr>
      <w:r>
        <w:rPr>
          <w:b/>
          <w:szCs w:val="24"/>
          <w:lang w:val="sq-AL"/>
        </w:rPr>
        <w:fldChar w:fldCharType="end"/>
      </w:r>
      <w:r w:rsidR="00B85EAB">
        <w:rPr>
          <w:b/>
          <w:szCs w:val="24"/>
          <w:lang w:val="sq-AL"/>
        </w:rPr>
        <w:fldChar w:fldCharType="begin"/>
      </w:r>
      <w:r w:rsidR="00B85EAB">
        <w:rPr>
          <w:b/>
          <w:szCs w:val="24"/>
          <w:lang w:val="sq-AL"/>
        </w:rPr>
        <w:instrText xml:space="preserve"> LINK </w:instrText>
      </w:r>
      <w:r w:rsidR="00A36183">
        <w:rPr>
          <w:b/>
          <w:szCs w:val="24"/>
          <w:lang w:val="sq-AL"/>
        </w:rPr>
        <w:instrText xml:space="preserve">Excel.SheetBinaryMacroEnabled.12 "C:\\Users\\roland.stafa\\Desktop\\KODIFIKIMI\\HARTIM\\Ligji per noterine\\Shembull i llogaritjes se Costo  perfitimeve  te RIAs - CBA calculation ....xlsb" "Tabela Perfundimtare !R2C1:R22C11" </w:instrText>
      </w:r>
      <w:r w:rsidR="00B85EAB">
        <w:rPr>
          <w:b/>
          <w:szCs w:val="24"/>
          <w:lang w:val="sq-AL"/>
        </w:rPr>
        <w:instrText xml:space="preserve">\a \f 5 \h  \* MERGEFORMAT </w:instrText>
      </w:r>
      <w:r w:rsidR="00B85EAB">
        <w:rPr>
          <w:b/>
          <w:szCs w:val="24"/>
          <w:lang w:val="sq-AL"/>
        </w:rPr>
        <w:fldChar w:fldCharType="separate"/>
      </w:r>
    </w:p>
    <w:tbl>
      <w:tblPr>
        <w:tblStyle w:val="TableGrid"/>
        <w:tblpPr w:leftFromText="180" w:rightFromText="180" w:vertAnchor="text" w:tblpY="1"/>
        <w:tblOverlap w:val="never"/>
        <w:tblW w:w="12220" w:type="dxa"/>
        <w:tblLook w:val="04A0" w:firstRow="1" w:lastRow="0" w:firstColumn="1" w:lastColumn="0" w:noHBand="0" w:noVBand="1"/>
      </w:tblPr>
      <w:tblGrid>
        <w:gridCol w:w="2080"/>
        <w:gridCol w:w="1176"/>
        <w:gridCol w:w="996"/>
        <w:gridCol w:w="996"/>
        <w:gridCol w:w="996"/>
        <w:gridCol w:w="996"/>
        <w:gridCol w:w="996"/>
        <w:gridCol w:w="996"/>
        <w:gridCol w:w="996"/>
        <w:gridCol w:w="996"/>
        <w:gridCol w:w="996"/>
      </w:tblGrid>
      <w:tr w:rsidR="00A36183" w:rsidRPr="00A36183" w14:paraId="5138555A" w14:textId="77777777" w:rsidTr="00A36183">
        <w:trPr>
          <w:divId w:val="1771580101"/>
          <w:trHeight w:val="255"/>
        </w:trPr>
        <w:tc>
          <w:tcPr>
            <w:tcW w:w="2080" w:type="dxa"/>
            <w:hideMark/>
          </w:tcPr>
          <w:p w14:paraId="55CA7834" w14:textId="32F01B6C" w:rsidR="00A36183" w:rsidRPr="00A36183" w:rsidRDefault="00A36183" w:rsidP="00A36183">
            <w:pPr>
              <w:spacing w:line="276" w:lineRule="auto"/>
              <w:rPr>
                <w:b/>
                <w:szCs w:val="24"/>
              </w:rPr>
            </w:pPr>
            <w:r w:rsidRPr="00A36183">
              <w:rPr>
                <w:b/>
                <w:szCs w:val="24"/>
              </w:rPr>
              <w:t> </w:t>
            </w:r>
          </w:p>
        </w:tc>
        <w:tc>
          <w:tcPr>
            <w:tcW w:w="1176" w:type="dxa"/>
            <w:hideMark/>
          </w:tcPr>
          <w:p w14:paraId="5372389C" w14:textId="77777777" w:rsidR="00A36183" w:rsidRPr="00A36183" w:rsidRDefault="00A36183" w:rsidP="00A36183">
            <w:pPr>
              <w:spacing w:line="276" w:lineRule="auto"/>
              <w:rPr>
                <w:b/>
                <w:bCs/>
                <w:szCs w:val="24"/>
              </w:rPr>
            </w:pPr>
            <w:r w:rsidRPr="00A36183">
              <w:rPr>
                <w:b/>
                <w:bCs/>
                <w:szCs w:val="24"/>
              </w:rPr>
              <w:t xml:space="preserve"> Viti  1 </w:t>
            </w:r>
          </w:p>
        </w:tc>
        <w:tc>
          <w:tcPr>
            <w:tcW w:w="996" w:type="dxa"/>
            <w:hideMark/>
          </w:tcPr>
          <w:p w14:paraId="5FF28AB7" w14:textId="77777777" w:rsidR="00A36183" w:rsidRPr="00A36183" w:rsidRDefault="00A36183" w:rsidP="00A36183">
            <w:pPr>
              <w:spacing w:line="276" w:lineRule="auto"/>
              <w:rPr>
                <w:b/>
                <w:bCs/>
                <w:szCs w:val="24"/>
              </w:rPr>
            </w:pPr>
            <w:r w:rsidRPr="00A36183">
              <w:rPr>
                <w:b/>
                <w:bCs/>
                <w:szCs w:val="24"/>
              </w:rPr>
              <w:t xml:space="preserve"> Viti 2 </w:t>
            </w:r>
          </w:p>
        </w:tc>
        <w:tc>
          <w:tcPr>
            <w:tcW w:w="996" w:type="dxa"/>
            <w:hideMark/>
          </w:tcPr>
          <w:p w14:paraId="76C08AB5" w14:textId="77777777" w:rsidR="00A36183" w:rsidRPr="00A36183" w:rsidRDefault="00A36183" w:rsidP="00A36183">
            <w:pPr>
              <w:spacing w:line="276" w:lineRule="auto"/>
              <w:rPr>
                <w:b/>
                <w:bCs/>
                <w:szCs w:val="24"/>
              </w:rPr>
            </w:pPr>
            <w:r w:rsidRPr="00A36183">
              <w:rPr>
                <w:b/>
                <w:bCs/>
                <w:szCs w:val="24"/>
              </w:rPr>
              <w:t xml:space="preserve"> Viti 3 </w:t>
            </w:r>
          </w:p>
        </w:tc>
        <w:tc>
          <w:tcPr>
            <w:tcW w:w="996" w:type="dxa"/>
            <w:hideMark/>
          </w:tcPr>
          <w:p w14:paraId="53964819" w14:textId="77777777" w:rsidR="00A36183" w:rsidRPr="00A36183" w:rsidRDefault="00A36183" w:rsidP="00A36183">
            <w:pPr>
              <w:spacing w:line="276" w:lineRule="auto"/>
              <w:rPr>
                <w:b/>
                <w:bCs/>
                <w:szCs w:val="24"/>
              </w:rPr>
            </w:pPr>
            <w:r w:rsidRPr="00A36183">
              <w:rPr>
                <w:b/>
                <w:bCs/>
                <w:szCs w:val="24"/>
              </w:rPr>
              <w:t xml:space="preserve"> Viti 4 </w:t>
            </w:r>
          </w:p>
        </w:tc>
        <w:tc>
          <w:tcPr>
            <w:tcW w:w="996" w:type="dxa"/>
            <w:hideMark/>
          </w:tcPr>
          <w:p w14:paraId="4758DB25" w14:textId="77777777" w:rsidR="00A36183" w:rsidRPr="00A36183" w:rsidRDefault="00A36183" w:rsidP="00A36183">
            <w:pPr>
              <w:spacing w:line="276" w:lineRule="auto"/>
              <w:rPr>
                <w:b/>
                <w:bCs/>
                <w:szCs w:val="24"/>
              </w:rPr>
            </w:pPr>
            <w:r w:rsidRPr="00A36183">
              <w:rPr>
                <w:b/>
                <w:bCs/>
                <w:szCs w:val="24"/>
              </w:rPr>
              <w:t xml:space="preserve"> Viti 5 </w:t>
            </w:r>
          </w:p>
        </w:tc>
        <w:tc>
          <w:tcPr>
            <w:tcW w:w="996" w:type="dxa"/>
            <w:hideMark/>
          </w:tcPr>
          <w:p w14:paraId="36DC0225" w14:textId="77777777" w:rsidR="00A36183" w:rsidRPr="00A36183" w:rsidRDefault="00A36183" w:rsidP="00A36183">
            <w:pPr>
              <w:spacing w:line="276" w:lineRule="auto"/>
              <w:rPr>
                <w:b/>
                <w:bCs/>
                <w:szCs w:val="24"/>
              </w:rPr>
            </w:pPr>
            <w:r w:rsidRPr="00A36183">
              <w:rPr>
                <w:b/>
                <w:bCs/>
                <w:szCs w:val="24"/>
              </w:rPr>
              <w:t xml:space="preserve"> Viti 6 </w:t>
            </w:r>
          </w:p>
        </w:tc>
        <w:tc>
          <w:tcPr>
            <w:tcW w:w="996" w:type="dxa"/>
            <w:hideMark/>
          </w:tcPr>
          <w:p w14:paraId="314B07E7" w14:textId="77777777" w:rsidR="00A36183" w:rsidRPr="00A36183" w:rsidRDefault="00A36183" w:rsidP="00A36183">
            <w:pPr>
              <w:spacing w:line="276" w:lineRule="auto"/>
              <w:rPr>
                <w:b/>
                <w:bCs/>
                <w:szCs w:val="24"/>
              </w:rPr>
            </w:pPr>
            <w:r w:rsidRPr="00A36183">
              <w:rPr>
                <w:b/>
                <w:bCs/>
                <w:szCs w:val="24"/>
              </w:rPr>
              <w:t xml:space="preserve"> Viti 7 </w:t>
            </w:r>
          </w:p>
        </w:tc>
        <w:tc>
          <w:tcPr>
            <w:tcW w:w="996" w:type="dxa"/>
            <w:hideMark/>
          </w:tcPr>
          <w:p w14:paraId="267B072E" w14:textId="77777777" w:rsidR="00A36183" w:rsidRPr="00A36183" w:rsidRDefault="00A36183" w:rsidP="00A36183">
            <w:pPr>
              <w:spacing w:line="276" w:lineRule="auto"/>
              <w:rPr>
                <w:b/>
                <w:bCs/>
                <w:szCs w:val="24"/>
              </w:rPr>
            </w:pPr>
            <w:r w:rsidRPr="00A36183">
              <w:rPr>
                <w:b/>
                <w:bCs/>
                <w:szCs w:val="24"/>
              </w:rPr>
              <w:t xml:space="preserve"> Viti 8 </w:t>
            </w:r>
          </w:p>
        </w:tc>
        <w:tc>
          <w:tcPr>
            <w:tcW w:w="996" w:type="dxa"/>
            <w:hideMark/>
          </w:tcPr>
          <w:p w14:paraId="58CF3684" w14:textId="77777777" w:rsidR="00A36183" w:rsidRPr="00A36183" w:rsidRDefault="00A36183" w:rsidP="00A36183">
            <w:pPr>
              <w:spacing w:line="276" w:lineRule="auto"/>
              <w:rPr>
                <w:b/>
                <w:bCs/>
                <w:szCs w:val="24"/>
              </w:rPr>
            </w:pPr>
            <w:r w:rsidRPr="00A36183">
              <w:rPr>
                <w:b/>
                <w:bCs/>
                <w:szCs w:val="24"/>
              </w:rPr>
              <w:t xml:space="preserve"> Viti 9 </w:t>
            </w:r>
          </w:p>
        </w:tc>
        <w:tc>
          <w:tcPr>
            <w:tcW w:w="996" w:type="dxa"/>
            <w:hideMark/>
          </w:tcPr>
          <w:p w14:paraId="206B58BF" w14:textId="77777777" w:rsidR="00A36183" w:rsidRPr="00A36183" w:rsidRDefault="00A36183" w:rsidP="00A36183">
            <w:pPr>
              <w:spacing w:line="276" w:lineRule="auto"/>
              <w:rPr>
                <w:b/>
                <w:bCs/>
                <w:szCs w:val="24"/>
              </w:rPr>
            </w:pPr>
            <w:r w:rsidRPr="00A36183">
              <w:rPr>
                <w:b/>
                <w:bCs/>
                <w:szCs w:val="24"/>
              </w:rPr>
              <w:t xml:space="preserve"> Viti 10 </w:t>
            </w:r>
          </w:p>
        </w:tc>
      </w:tr>
      <w:tr w:rsidR="00A36183" w:rsidRPr="00A36183" w14:paraId="3CF0C9A8" w14:textId="77777777" w:rsidTr="00A36183">
        <w:trPr>
          <w:divId w:val="1771580101"/>
          <w:trHeight w:val="255"/>
        </w:trPr>
        <w:tc>
          <w:tcPr>
            <w:tcW w:w="2080" w:type="dxa"/>
            <w:hideMark/>
          </w:tcPr>
          <w:p w14:paraId="792F3FD9" w14:textId="77777777" w:rsidR="00A36183" w:rsidRPr="00A36183" w:rsidRDefault="00A36183" w:rsidP="00A36183">
            <w:pPr>
              <w:spacing w:line="276" w:lineRule="auto"/>
              <w:rPr>
                <w:b/>
                <w:bCs/>
                <w:szCs w:val="24"/>
              </w:rPr>
            </w:pPr>
            <w:r w:rsidRPr="00A36183">
              <w:rPr>
                <w:b/>
                <w:bCs/>
                <w:szCs w:val="24"/>
              </w:rPr>
              <w:t xml:space="preserve">Faktori zbritës </w:t>
            </w:r>
          </w:p>
        </w:tc>
        <w:tc>
          <w:tcPr>
            <w:tcW w:w="1176" w:type="dxa"/>
            <w:hideMark/>
          </w:tcPr>
          <w:p w14:paraId="24B16617" w14:textId="77777777" w:rsidR="00A36183" w:rsidRPr="00A36183" w:rsidRDefault="00A36183" w:rsidP="00A36183">
            <w:pPr>
              <w:spacing w:line="276" w:lineRule="auto"/>
            </w:pPr>
            <w:r w:rsidRPr="00A36183">
              <w:rPr>
                <w:b/>
                <w:szCs w:val="24"/>
              </w:rPr>
              <w:t xml:space="preserve">                    </w:t>
            </w:r>
            <w:r w:rsidRPr="00A36183">
              <w:t xml:space="preserve">1.00 </w:t>
            </w:r>
          </w:p>
        </w:tc>
        <w:tc>
          <w:tcPr>
            <w:tcW w:w="996" w:type="dxa"/>
            <w:hideMark/>
          </w:tcPr>
          <w:p w14:paraId="44A63661" w14:textId="77777777" w:rsidR="00A36183" w:rsidRPr="00A36183" w:rsidRDefault="00A36183" w:rsidP="00A36183">
            <w:pPr>
              <w:spacing w:line="276" w:lineRule="auto"/>
            </w:pPr>
            <w:r w:rsidRPr="00A36183">
              <w:rPr>
                <w:b/>
                <w:szCs w:val="24"/>
              </w:rPr>
              <w:t xml:space="preserve">                 </w:t>
            </w:r>
            <w:r w:rsidRPr="00A36183">
              <w:t xml:space="preserve">0.95 </w:t>
            </w:r>
          </w:p>
        </w:tc>
        <w:tc>
          <w:tcPr>
            <w:tcW w:w="996" w:type="dxa"/>
            <w:hideMark/>
          </w:tcPr>
          <w:p w14:paraId="3780FFA8" w14:textId="77777777" w:rsidR="00A36183" w:rsidRPr="00A36183" w:rsidRDefault="00A36183" w:rsidP="00A36183">
            <w:pPr>
              <w:spacing w:line="276" w:lineRule="auto"/>
            </w:pPr>
            <w:r w:rsidRPr="00A36183">
              <w:rPr>
                <w:b/>
                <w:szCs w:val="24"/>
              </w:rPr>
              <w:t xml:space="preserve">                  </w:t>
            </w:r>
            <w:r w:rsidRPr="00A36183">
              <w:t xml:space="preserve">0.91 </w:t>
            </w:r>
          </w:p>
        </w:tc>
        <w:tc>
          <w:tcPr>
            <w:tcW w:w="996" w:type="dxa"/>
            <w:hideMark/>
          </w:tcPr>
          <w:p w14:paraId="6ADC9064" w14:textId="77777777" w:rsidR="00A36183" w:rsidRPr="00A36183" w:rsidRDefault="00A36183" w:rsidP="00A36183">
            <w:pPr>
              <w:spacing w:line="276" w:lineRule="auto"/>
            </w:pPr>
            <w:r w:rsidRPr="00A36183">
              <w:rPr>
                <w:b/>
                <w:szCs w:val="24"/>
              </w:rPr>
              <w:t xml:space="preserve">                 </w:t>
            </w:r>
            <w:r w:rsidRPr="00A36183">
              <w:t xml:space="preserve">0.87 </w:t>
            </w:r>
          </w:p>
        </w:tc>
        <w:tc>
          <w:tcPr>
            <w:tcW w:w="996" w:type="dxa"/>
            <w:hideMark/>
          </w:tcPr>
          <w:p w14:paraId="2A9C4DA8" w14:textId="77777777" w:rsidR="00A36183" w:rsidRPr="00A36183" w:rsidRDefault="00A36183" w:rsidP="00A36183">
            <w:pPr>
              <w:spacing w:line="276" w:lineRule="auto"/>
            </w:pPr>
            <w:r w:rsidRPr="00A36183">
              <w:rPr>
                <w:b/>
                <w:szCs w:val="24"/>
              </w:rPr>
              <w:t xml:space="preserve">                 </w:t>
            </w:r>
            <w:r w:rsidRPr="00A36183">
              <w:t xml:space="preserve">0.82 </w:t>
            </w:r>
          </w:p>
        </w:tc>
        <w:tc>
          <w:tcPr>
            <w:tcW w:w="996" w:type="dxa"/>
            <w:hideMark/>
          </w:tcPr>
          <w:p w14:paraId="495BED4A" w14:textId="77777777" w:rsidR="00A36183" w:rsidRPr="00A36183" w:rsidRDefault="00A36183" w:rsidP="00A36183">
            <w:pPr>
              <w:spacing w:line="276" w:lineRule="auto"/>
            </w:pPr>
            <w:r w:rsidRPr="00A36183">
              <w:rPr>
                <w:b/>
                <w:szCs w:val="24"/>
              </w:rPr>
              <w:t xml:space="preserve">                 </w:t>
            </w:r>
            <w:r w:rsidRPr="00A36183">
              <w:t xml:space="preserve">0.79 </w:t>
            </w:r>
          </w:p>
        </w:tc>
        <w:tc>
          <w:tcPr>
            <w:tcW w:w="996" w:type="dxa"/>
            <w:hideMark/>
          </w:tcPr>
          <w:p w14:paraId="66AAFFC1" w14:textId="77777777" w:rsidR="00A36183" w:rsidRPr="00A36183" w:rsidRDefault="00A36183" w:rsidP="00A36183">
            <w:pPr>
              <w:spacing w:line="276" w:lineRule="auto"/>
            </w:pPr>
            <w:r w:rsidRPr="00A36183">
              <w:rPr>
                <w:b/>
                <w:szCs w:val="24"/>
              </w:rPr>
              <w:t xml:space="preserve">                 </w:t>
            </w:r>
            <w:r w:rsidRPr="00A36183">
              <w:t xml:space="preserve">0.75 </w:t>
            </w:r>
          </w:p>
        </w:tc>
        <w:tc>
          <w:tcPr>
            <w:tcW w:w="996" w:type="dxa"/>
            <w:hideMark/>
          </w:tcPr>
          <w:p w14:paraId="49228114" w14:textId="77777777" w:rsidR="00A36183" w:rsidRPr="00A36183" w:rsidRDefault="00A36183" w:rsidP="00A36183">
            <w:pPr>
              <w:spacing w:line="276" w:lineRule="auto"/>
            </w:pPr>
            <w:r w:rsidRPr="00A36183">
              <w:rPr>
                <w:b/>
                <w:szCs w:val="24"/>
              </w:rPr>
              <w:t xml:space="preserve">                   </w:t>
            </w:r>
            <w:r w:rsidRPr="00A36183">
              <w:t xml:space="preserve">0.71 </w:t>
            </w:r>
          </w:p>
        </w:tc>
        <w:tc>
          <w:tcPr>
            <w:tcW w:w="996" w:type="dxa"/>
            <w:hideMark/>
          </w:tcPr>
          <w:p w14:paraId="4BBEC0AB" w14:textId="77777777" w:rsidR="00A36183" w:rsidRPr="00A36183" w:rsidRDefault="00A36183" w:rsidP="00A36183">
            <w:pPr>
              <w:spacing w:line="276" w:lineRule="auto"/>
            </w:pPr>
            <w:r w:rsidRPr="00A36183">
              <w:rPr>
                <w:b/>
                <w:szCs w:val="24"/>
              </w:rPr>
              <w:t xml:space="preserve">                  </w:t>
            </w:r>
            <w:r w:rsidRPr="00A36183">
              <w:t xml:space="preserve">0.68 </w:t>
            </w:r>
          </w:p>
        </w:tc>
        <w:tc>
          <w:tcPr>
            <w:tcW w:w="996" w:type="dxa"/>
            <w:hideMark/>
          </w:tcPr>
          <w:p w14:paraId="6FF2493E" w14:textId="77777777" w:rsidR="00A36183" w:rsidRPr="00A36183" w:rsidRDefault="00A36183" w:rsidP="00A36183">
            <w:pPr>
              <w:spacing w:line="276" w:lineRule="auto"/>
            </w:pPr>
            <w:r w:rsidRPr="00A36183">
              <w:rPr>
                <w:b/>
                <w:szCs w:val="24"/>
              </w:rPr>
              <w:t xml:space="preserve">                    </w:t>
            </w:r>
            <w:r w:rsidRPr="00A36183">
              <w:t xml:space="preserve">0.65 </w:t>
            </w:r>
          </w:p>
        </w:tc>
      </w:tr>
      <w:tr w:rsidR="00A36183" w:rsidRPr="00A36183" w14:paraId="3C023561" w14:textId="77777777" w:rsidTr="00A36183">
        <w:trPr>
          <w:divId w:val="1771580101"/>
          <w:trHeight w:val="255"/>
        </w:trPr>
        <w:tc>
          <w:tcPr>
            <w:tcW w:w="2080" w:type="dxa"/>
            <w:hideMark/>
          </w:tcPr>
          <w:p w14:paraId="7C750EDD" w14:textId="77777777" w:rsidR="00A36183" w:rsidRPr="00A36183" w:rsidRDefault="00A36183" w:rsidP="00A36183">
            <w:pPr>
              <w:spacing w:line="276" w:lineRule="auto"/>
              <w:rPr>
                <w:b/>
                <w:szCs w:val="24"/>
              </w:rPr>
            </w:pPr>
            <w:r w:rsidRPr="00A36183">
              <w:rPr>
                <w:b/>
                <w:szCs w:val="24"/>
              </w:rPr>
              <w:t>Kosto për buxhetin - një herë</w:t>
            </w:r>
          </w:p>
        </w:tc>
        <w:tc>
          <w:tcPr>
            <w:tcW w:w="1176" w:type="dxa"/>
          </w:tcPr>
          <w:p w14:paraId="31C83683" w14:textId="64AC063A" w:rsidR="00A36183" w:rsidRPr="00A36183" w:rsidRDefault="00A36183" w:rsidP="00A36183">
            <w:pPr>
              <w:spacing w:line="276" w:lineRule="auto"/>
            </w:pPr>
          </w:p>
        </w:tc>
        <w:tc>
          <w:tcPr>
            <w:tcW w:w="996" w:type="dxa"/>
          </w:tcPr>
          <w:p w14:paraId="68E00DBD" w14:textId="4D30D018" w:rsidR="00A36183" w:rsidRPr="00A36183" w:rsidRDefault="00A36183" w:rsidP="00A36183">
            <w:pPr>
              <w:spacing w:line="276" w:lineRule="auto"/>
            </w:pPr>
          </w:p>
        </w:tc>
        <w:tc>
          <w:tcPr>
            <w:tcW w:w="996" w:type="dxa"/>
          </w:tcPr>
          <w:p w14:paraId="767BF6CE" w14:textId="3E047CB4" w:rsidR="00A36183" w:rsidRPr="00A36183" w:rsidRDefault="00A36183" w:rsidP="00A36183">
            <w:pPr>
              <w:spacing w:line="276" w:lineRule="auto"/>
            </w:pPr>
          </w:p>
        </w:tc>
        <w:tc>
          <w:tcPr>
            <w:tcW w:w="996" w:type="dxa"/>
          </w:tcPr>
          <w:p w14:paraId="0CB8334D" w14:textId="43981FB0" w:rsidR="00A36183" w:rsidRPr="00A36183" w:rsidRDefault="00A36183" w:rsidP="00A36183">
            <w:pPr>
              <w:spacing w:line="276" w:lineRule="auto"/>
            </w:pPr>
          </w:p>
        </w:tc>
        <w:tc>
          <w:tcPr>
            <w:tcW w:w="996" w:type="dxa"/>
          </w:tcPr>
          <w:p w14:paraId="1194CB32" w14:textId="1D00D27F" w:rsidR="00A36183" w:rsidRPr="00A36183" w:rsidRDefault="00A36183" w:rsidP="00A36183">
            <w:pPr>
              <w:spacing w:line="276" w:lineRule="auto"/>
            </w:pPr>
          </w:p>
        </w:tc>
        <w:tc>
          <w:tcPr>
            <w:tcW w:w="996" w:type="dxa"/>
          </w:tcPr>
          <w:p w14:paraId="1443F5D0" w14:textId="71CB3D6F" w:rsidR="00A36183" w:rsidRPr="00A36183" w:rsidRDefault="00A36183" w:rsidP="00A36183">
            <w:pPr>
              <w:spacing w:line="276" w:lineRule="auto"/>
            </w:pPr>
          </w:p>
        </w:tc>
        <w:tc>
          <w:tcPr>
            <w:tcW w:w="996" w:type="dxa"/>
          </w:tcPr>
          <w:p w14:paraId="0E39EC54" w14:textId="43C182FF" w:rsidR="00A36183" w:rsidRPr="00A36183" w:rsidRDefault="00A36183" w:rsidP="00A36183">
            <w:pPr>
              <w:spacing w:line="276" w:lineRule="auto"/>
            </w:pPr>
          </w:p>
        </w:tc>
        <w:tc>
          <w:tcPr>
            <w:tcW w:w="996" w:type="dxa"/>
          </w:tcPr>
          <w:p w14:paraId="5F2C1C18" w14:textId="7E454DAB" w:rsidR="00A36183" w:rsidRPr="00A36183" w:rsidRDefault="00A36183" w:rsidP="00A36183">
            <w:pPr>
              <w:spacing w:line="276" w:lineRule="auto"/>
            </w:pPr>
          </w:p>
        </w:tc>
        <w:tc>
          <w:tcPr>
            <w:tcW w:w="996" w:type="dxa"/>
          </w:tcPr>
          <w:p w14:paraId="3A3EACCB" w14:textId="1843DB6B" w:rsidR="00A36183" w:rsidRPr="00A36183" w:rsidRDefault="00A36183" w:rsidP="00A36183">
            <w:pPr>
              <w:spacing w:line="276" w:lineRule="auto"/>
            </w:pPr>
          </w:p>
        </w:tc>
        <w:tc>
          <w:tcPr>
            <w:tcW w:w="996" w:type="dxa"/>
          </w:tcPr>
          <w:p w14:paraId="1177CD0D" w14:textId="18232B61" w:rsidR="00A36183" w:rsidRPr="00A36183" w:rsidRDefault="00A36183" w:rsidP="00A36183">
            <w:pPr>
              <w:spacing w:line="276" w:lineRule="auto"/>
            </w:pPr>
          </w:p>
        </w:tc>
      </w:tr>
      <w:tr w:rsidR="00A36183" w:rsidRPr="00A36183" w14:paraId="761E18C9" w14:textId="77777777" w:rsidTr="00A36183">
        <w:trPr>
          <w:divId w:val="1771580101"/>
          <w:trHeight w:val="255"/>
        </w:trPr>
        <w:tc>
          <w:tcPr>
            <w:tcW w:w="2080" w:type="dxa"/>
            <w:hideMark/>
          </w:tcPr>
          <w:p w14:paraId="3BC692EB" w14:textId="77777777" w:rsidR="00A36183" w:rsidRPr="00A36183" w:rsidRDefault="00A36183" w:rsidP="00A36183">
            <w:pPr>
              <w:spacing w:line="276" w:lineRule="auto"/>
              <w:rPr>
                <w:b/>
                <w:szCs w:val="24"/>
              </w:rPr>
            </w:pPr>
            <w:r w:rsidRPr="00A36183">
              <w:rPr>
                <w:b/>
                <w:szCs w:val="24"/>
              </w:rPr>
              <w:t>Kosto për buxhetin - në vazhdimësi</w:t>
            </w:r>
          </w:p>
        </w:tc>
        <w:tc>
          <w:tcPr>
            <w:tcW w:w="1176" w:type="dxa"/>
          </w:tcPr>
          <w:p w14:paraId="4BFF228D" w14:textId="2C5A1DCB" w:rsidR="00A36183" w:rsidRPr="00A36183" w:rsidRDefault="00A36183" w:rsidP="00A36183">
            <w:pPr>
              <w:spacing w:line="276" w:lineRule="auto"/>
            </w:pPr>
          </w:p>
        </w:tc>
        <w:tc>
          <w:tcPr>
            <w:tcW w:w="996" w:type="dxa"/>
          </w:tcPr>
          <w:p w14:paraId="15DD6B9E" w14:textId="33179FCC" w:rsidR="00A36183" w:rsidRPr="00A36183" w:rsidRDefault="00A36183" w:rsidP="00A36183">
            <w:pPr>
              <w:spacing w:line="276" w:lineRule="auto"/>
            </w:pPr>
          </w:p>
        </w:tc>
        <w:tc>
          <w:tcPr>
            <w:tcW w:w="996" w:type="dxa"/>
          </w:tcPr>
          <w:p w14:paraId="6A76518E" w14:textId="3EE00474" w:rsidR="00A36183" w:rsidRPr="00A36183" w:rsidRDefault="00A36183" w:rsidP="00A36183">
            <w:pPr>
              <w:spacing w:line="276" w:lineRule="auto"/>
            </w:pPr>
          </w:p>
        </w:tc>
        <w:tc>
          <w:tcPr>
            <w:tcW w:w="996" w:type="dxa"/>
          </w:tcPr>
          <w:p w14:paraId="5823A786" w14:textId="3D569D5E" w:rsidR="00A36183" w:rsidRPr="00A36183" w:rsidRDefault="00A36183" w:rsidP="00A36183">
            <w:pPr>
              <w:spacing w:line="276" w:lineRule="auto"/>
            </w:pPr>
          </w:p>
        </w:tc>
        <w:tc>
          <w:tcPr>
            <w:tcW w:w="996" w:type="dxa"/>
          </w:tcPr>
          <w:p w14:paraId="6ADEB1F1" w14:textId="19F73FC8" w:rsidR="00A36183" w:rsidRPr="00A36183" w:rsidRDefault="00A36183" w:rsidP="00A36183">
            <w:pPr>
              <w:spacing w:line="276" w:lineRule="auto"/>
            </w:pPr>
          </w:p>
        </w:tc>
        <w:tc>
          <w:tcPr>
            <w:tcW w:w="996" w:type="dxa"/>
          </w:tcPr>
          <w:p w14:paraId="7C5D6AD3" w14:textId="4A4025CF" w:rsidR="00A36183" w:rsidRPr="00A36183" w:rsidRDefault="00A36183" w:rsidP="00A36183">
            <w:pPr>
              <w:spacing w:line="276" w:lineRule="auto"/>
            </w:pPr>
          </w:p>
        </w:tc>
        <w:tc>
          <w:tcPr>
            <w:tcW w:w="996" w:type="dxa"/>
          </w:tcPr>
          <w:p w14:paraId="26D81FA8" w14:textId="4BF32786" w:rsidR="00A36183" w:rsidRPr="00A36183" w:rsidRDefault="00A36183" w:rsidP="00A36183">
            <w:pPr>
              <w:spacing w:line="276" w:lineRule="auto"/>
            </w:pPr>
          </w:p>
        </w:tc>
        <w:tc>
          <w:tcPr>
            <w:tcW w:w="996" w:type="dxa"/>
          </w:tcPr>
          <w:p w14:paraId="4C434560" w14:textId="21015A55" w:rsidR="00A36183" w:rsidRPr="00A36183" w:rsidRDefault="00A36183" w:rsidP="00A36183">
            <w:pPr>
              <w:spacing w:line="276" w:lineRule="auto"/>
            </w:pPr>
          </w:p>
        </w:tc>
        <w:tc>
          <w:tcPr>
            <w:tcW w:w="996" w:type="dxa"/>
          </w:tcPr>
          <w:p w14:paraId="4BC94971" w14:textId="2DF166CC" w:rsidR="00A36183" w:rsidRPr="00A36183" w:rsidRDefault="00A36183" w:rsidP="00A36183">
            <w:pPr>
              <w:spacing w:line="276" w:lineRule="auto"/>
            </w:pPr>
          </w:p>
        </w:tc>
        <w:tc>
          <w:tcPr>
            <w:tcW w:w="996" w:type="dxa"/>
          </w:tcPr>
          <w:p w14:paraId="04135E87" w14:textId="3677D349" w:rsidR="00A36183" w:rsidRPr="00A36183" w:rsidRDefault="00A36183" w:rsidP="00A36183">
            <w:pPr>
              <w:spacing w:line="276" w:lineRule="auto"/>
            </w:pPr>
          </w:p>
        </w:tc>
      </w:tr>
      <w:tr w:rsidR="00A36183" w:rsidRPr="00A36183" w14:paraId="218E9DEB" w14:textId="77777777" w:rsidTr="00A36183">
        <w:trPr>
          <w:divId w:val="1771580101"/>
          <w:trHeight w:val="255"/>
        </w:trPr>
        <w:tc>
          <w:tcPr>
            <w:tcW w:w="2080" w:type="dxa"/>
            <w:hideMark/>
          </w:tcPr>
          <w:p w14:paraId="7BA9DC9D" w14:textId="77777777" w:rsidR="00A36183" w:rsidRPr="00A36183" w:rsidRDefault="00A36183" w:rsidP="00A36183">
            <w:pPr>
              <w:spacing w:line="276" w:lineRule="auto"/>
              <w:rPr>
                <w:b/>
                <w:szCs w:val="24"/>
              </w:rPr>
            </w:pPr>
            <w:r w:rsidRPr="00A36183">
              <w:rPr>
                <w:b/>
                <w:szCs w:val="24"/>
              </w:rPr>
              <w:t xml:space="preserve">Kosto për bizneset - një herë </w:t>
            </w:r>
          </w:p>
        </w:tc>
        <w:tc>
          <w:tcPr>
            <w:tcW w:w="1176" w:type="dxa"/>
          </w:tcPr>
          <w:p w14:paraId="3E816E25" w14:textId="5D6D1CDF" w:rsidR="00A36183" w:rsidRPr="00A36183" w:rsidRDefault="00A36183" w:rsidP="00A36183">
            <w:pPr>
              <w:spacing w:line="276" w:lineRule="auto"/>
            </w:pPr>
          </w:p>
        </w:tc>
        <w:tc>
          <w:tcPr>
            <w:tcW w:w="996" w:type="dxa"/>
          </w:tcPr>
          <w:p w14:paraId="066B45B4" w14:textId="262E6889" w:rsidR="00A36183" w:rsidRPr="00A36183" w:rsidRDefault="00A36183" w:rsidP="00A36183">
            <w:pPr>
              <w:spacing w:line="276" w:lineRule="auto"/>
            </w:pPr>
          </w:p>
        </w:tc>
        <w:tc>
          <w:tcPr>
            <w:tcW w:w="996" w:type="dxa"/>
          </w:tcPr>
          <w:p w14:paraId="5C5DD013" w14:textId="5EC0D168" w:rsidR="00A36183" w:rsidRPr="00A36183" w:rsidRDefault="00A36183" w:rsidP="00A36183">
            <w:pPr>
              <w:spacing w:line="276" w:lineRule="auto"/>
            </w:pPr>
          </w:p>
        </w:tc>
        <w:tc>
          <w:tcPr>
            <w:tcW w:w="996" w:type="dxa"/>
          </w:tcPr>
          <w:p w14:paraId="16043FE6" w14:textId="114D54F4" w:rsidR="00A36183" w:rsidRPr="00A36183" w:rsidRDefault="00A36183" w:rsidP="00A36183">
            <w:pPr>
              <w:spacing w:line="276" w:lineRule="auto"/>
            </w:pPr>
          </w:p>
        </w:tc>
        <w:tc>
          <w:tcPr>
            <w:tcW w:w="996" w:type="dxa"/>
          </w:tcPr>
          <w:p w14:paraId="3C14099C" w14:textId="35762A9B" w:rsidR="00A36183" w:rsidRPr="00A36183" w:rsidRDefault="00A36183" w:rsidP="00A36183">
            <w:pPr>
              <w:spacing w:line="276" w:lineRule="auto"/>
            </w:pPr>
          </w:p>
        </w:tc>
        <w:tc>
          <w:tcPr>
            <w:tcW w:w="996" w:type="dxa"/>
          </w:tcPr>
          <w:p w14:paraId="67C18235" w14:textId="00040666" w:rsidR="00A36183" w:rsidRPr="00A36183" w:rsidRDefault="00A36183" w:rsidP="00A36183">
            <w:pPr>
              <w:spacing w:line="276" w:lineRule="auto"/>
            </w:pPr>
          </w:p>
        </w:tc>
        <w:tc>
          <w:tcPr>
            <w:tcW w:w="996" w:type="dxa"/>
          </w:tcPr>
          <w:p w14:paraId="05AD119C" w14:textId="50D7C095" w:rsidR="00A36183" w:rsidRPr="00A36183" w:rsidRDefault="00A36183" w:rsidP="00A36183">
            <w:pPr>
              <w:spacing w:line="276" w:lineRule="auto"/>
            </w:pPr>
          </w:p>
        </w:tc>
        <w:tc>
          <w:tcPr>
            <w:tcW w:w="996" w:type="dxa"/>
          </w:tcPr>
          <w:p w14:paraId="5B8945CB" w14:textId="4BA33FEA" w:rsidR="00A36183" w:rsidRPr="00A36183" w:rsidRDefault="00A36183" w:rsidP="00A36183">
            <w:pPr>
              <w:spacing w:line="276" w:lineRule="auto"/>
            </w:pPr>
          </w:p>
        </w:tc>
        <w:tc>
          <w:tcPr>
            <w:tcW w:w="996" w:type="dxa"/>
          </w:tcPr>
          <w:p w14:paraId="3C475875" w14:textId="5E9D17B4" w:rsidR="00A36183" w:rsidRPr="00A36183" w:rsidRDefault="00A36183" w:rsidP="00A36183">
            <w:pPr>
              <w:spacing w:line="276" w:lineRule="auto"/>
            </w:pPr>
          </w:p>
        </w:tc>
        <w:tc>
          <w:tcPr>
            <w:tcW w:w="996" w:type="dxa"/>
          </w:tcPr>
          <w:p w14:paraId="181966EF" w14:textId="1835AF91" w:rsidR="00A36183" w:rsidRPr="00A36183" w:rsidRDefault="00A36183" w:rsidP="00A36183">
            <w:pPr>
              <w:spacing w:line="276" w:lineRule="auto"/>
            </w:pPr>
          </w:p>
        </w:tc>
      </w:tr>
      <w:tr w:rsidR="00A36183" w:rsidRPr="00A36183" w14:paraId="45609532" w14:textId="77777777" w:rsidTr="00A36183">
        <w:trPr>
          <w:divId w:val="1771580101"/>
          <w:trHeight w:val="255"/>
        </w:trPr>
        <w:tc>
          <w:tcPr>
            <w:tcW w:w="2080" w:type="dxa"/>
            <w:hideMark/>
          </w:tcPr>
          <w:p w14:paraId="774CF199" w14:textId="77777777" w:rsidR="00A36183" w:rsidRPr="00A36183" w:rsidRDefault="00A36183" w:rsidP="00A36183">
            <w:pPr>
              <w:spacing w:line="276" w:lineRule="auto"/>
              <w:rPr>
                <w:b/>
                <w:szCs w:val="24"/>
              </w:rPr>
            </w:pPr>
            <w:r w:rsidRPr="00A36183">
              <w:rPr>
                <w:b/>
                <w:szCs w:val="24"/>
              </w:rPr>
              <w:t>Kosto për bizneset - në vazhdimësi</w:t>
            </w:r>
          </w:p>
        </w:tc>
        <w:tc>
          <w:tcPr>
            <w:tcW w:w="1176" w:type="dxa"/>
          </w:tcPr>
          <w:p w14:paraId="5DDD6162" w14:textId="7D6F54C6" w:rsidR="00A36183" w:rsidRPr="00A36183" w:rsidRDefault="00A36183" w:rsidP="00A36183">
            <w:pPr>
              <w:spacing w:line="276" w:lineRule="auto"/>
            </w:pPr>
          </w:p>
        </w:tc>
        <w:tc>
          <w:tcPr>
            <w:tcW w:w="996" w:type="dxa"/>
          </w:tcPr>
          <w:p w14:paraId="10EDCE89" w14:textId="07DE7D08" w:rsidR="00A36183" w:rsidRPr="00A36183" w:rsidRDefault="00A36183" w:rsidP="00A36183">
            <w:pPr>
              <w:spacing w:line="276" w:lineRule="auto"/>
            </w:pPr>
          </w:p>
        </w:tc>
        <w:tc>
          <w:tcPr>
            <w:tcW w:w="996" w:type="dxa"/>
          </w:tcPr>
          <w:p w14:paraId="0E1920C2" w14:textId="7858F5E6" w:rsidR="00A36183" w:rsidRPr="00A36183" w:rsidRDefault="00A36183" w:rsidP="00A36183">
            <w:pPr>
              <w:spacing w:line="276" w:lineRule="auto"/>
            </w:pPr>
          </w:p>
        </w:tc>
        <w:tc>
          <w:tcPr>
            <w:tcW w:w="996" w:type="dxa"/>
          </w:tcPr>
          <w:p w14:paraId="750A74C9" w14:textId="2552E647" w:rsidR="00A36183" w:rsidRPr="00A36183" w:rsidRDefault="00A36183" w:rsidP="00A36183">
            <w:pPr>
              <w:spacing w:line="276" w:lineRule="auto"/>
            </w:pPr>
          </w:p>
        </w:tc>
        <w:tc>
          <w:tcPr>
            <w:tcW w:w="996" w:type="dxa"/>
          </w:tcPr>
          <w:p w14:paraId="2D2F39B5" w14:textId="2F8F3E39" w:rsidR="00A36183" w:rsidRPr="00A36183" w:rsidRDefault="00A36183" w:rsidP="00A36183">
            <w:pPr>
              <w:spacing w:line="276" w:lineRule="auto"/>
            </w:pPr>
          </w:p>
        </w:tc>
        <w:tc>
          <w:tcPr>
            <w:tcW w:w="996" w:type="dxa"/>
          </w:tcPr>
          <w:p w14:paraId="07C5A3CF" w14:textId="56199C55" w:rsidR="00A36183" w:rsidRPr="00A36183" w:rsidRDefault="00A36183" w:rsidP="00A36183">
            <w:pPr>
              <w:spacing w:line="276" w:lineRule="auto"/>
            </w:pPr>
          </w:p>
        </w:tc>
        <w:tc>
          <w:tcPr>
            <w:tcW w:w="996" w:type="dxa"/>
          </w:tcPr>
          <w:p w14:paraId="4429E183" w14:textId="0CE20655" w:rsidR="00A36183" w:rsidRPr="00A36183" w:rsidRDefault="00A36183" w:rsidP="00A36183">
            <w:pPr>
              <w:spacing w:line="276" w:lineRule="auto"/>
            </w:pPr>
          </w:p>
        </w:tc>
        <w:tc>
          <w:tcPr>
            <w:tcW w:w="996" w:type="dxa"/>
          </w:tcPr>
          <w:p w14:paraId="15BD49F7" w14:textId="5CB7A92D" w:rsidR="00A36183" w:rsidRPr="00A36183" w:rsidRDefault="00A36183" w:rsidP="00A36183">
            <w:pPr>
              <w:spacing w:line="276" w:lineRule="auto"/>
            </w:pPr>
          </w:p>
        </w:tc>
        <w:tc>
          <w:tcPr>
            <w:tcW w:w="996" w:type="dxa"/>
          </w:tcPr>
          <w:p w14:paraId="19CB4760" w14:textId="24E412F3" w:rsidR="00A36183" w:rsidRPr="00A36183" w:rsidRDefault="00A36183" w:rsidP="00A36183">
            <w:pPr>
              <w:spacing w:line="276" w:lineRule="auto"/>
            </w:pPr>
          </w:p>
        </w:tc>
        <w:tc>
          <w:tcPr>
            <w:tcW w:w="996" w:type="dxa"/>
          </w:tcPr>
          <w:p w14:paraId="267DDBA8" w14:textId="3DF96D54" w:rsidR="00A36183" w:rsidRPr="00A36183" w:rsidRDefault="00A36183" w:rsidP="00A36183">
            <w:pPr>
              <w:spacing w:line="276" w:lineRule="auto"/>
            </w:pPr>
          </w:p>
        </w:tc>
      </w:tr>
      <w:tr w:rsidR="00A36183" w:rsidRPr="00A36183" w14:paraId="72DC4CA4" w14:textId="77777777" w:rsidTr="00A36183">
        <w:trPr>
          <w:divId w:val="1771580101"/>
          <w:trHeight w:val="255"/>
        </w:trPr>
        <w:tc>
          <w:tcPr>
            <w:tcW w:w="2080" w:type="dxa"/>
            <w:hideMark/>
          </w:tcPr>
          <w:p w14:paraId="25487ED9" w14:textId="77777777" w:rsidR="00A36183" w:rsidRPr="00A36183" w:rsidRDefault="00A36183" w:rsidP="00A36183">
            <w:pPr>
              <w:spacing w:line="276" w:lineRule="auto"/>
              <w:rPr>
                <w:b/>
                <w:szCs w:val="24"/>
              </w:rPr>
            </w:pPr>
            <w:r w:rsidRPr="00A36183">
              <w:rPr>
                <w:b/>
                <w:szCs w:val="24"/>
              </w:rPr>
              <w:t>Kosto për grupet e tjera - një herë</w:t>
            </w:r>
          </w:p>
        </w:tc>
        <w:tc>
          <w:tcPr>
            <w:tcW w:w="1176" w:type="dxa"/>
          </w:tcPr>
          <w:p w14:paraId="693722F2" w14:textId="624C0445" w:rsidR="00A36183" w:rsidRPr="00A36183" w:rsidRDefault="00A36183" w:rsidP="00A36183">
            <w:pPr>
              <w:spacing w:line="276" w:lineRule="auto"/>
            </w:pPr>
          </w:p>
        </w:tc>
        <w:tc>
          <w:tcPr>
            <w:tcW w:w="996" w:type="dxa"/>
          </w:tcPr>
          <w:p w14:paraId="03448F22" w14:textId="63878D7E" w:rsidR="00A36183" w:rsidRPr="00A36183" w:rsidRDefault="00A36183" w:rsidP="00A36183">
            <w:pPr>
              <w:spacing w:line="276" w:lineRule="auto"/>
            </w:pPr>
          </w:p>
        </w:tc>
        <w:tc>
          <w:tcPr>
            <w:tcW w:w="996" w:type="dxa"/>
          </w:tcPr>
          <w:p w14:paraId="7833D06F" w14:textId="036562AF" w:rsidR="00A36183" w:rsidRPr="00A36183" w:rsidRDefault="00A36183" w:rsidP="00A36183">
            <w:pPr>
              <w:spacing w:line="276" w:lineRule="auto"/>
            </w:pPr>
          </w:p>
        </w:tc>
        <w:tc>
          <w:tcPr>
            <w:tcW w:w="996" w:type="dxa"/>
          </w:tcPr>
          <w:p w14:paraId="76D01E4C" w14:textId="0DC616CD" w:rsidR="00A36183" w:rsidRPr="00A36183" w:rsidRDefault="00A36183" w:rsidP="00A36183">
            <w:pPr>
              <w:spacing w:line="276" w:lineRule="auto"/>
            </w:pPr>
          </w:p>
        </w:tc>
        <w:tc>
          <w:tcPr>
            <w:tcW w:w="996" w:type="dxa"/>
          </w:tcPr>
          <w:p w14:paraId="292730A3" w14:textId="5D3322AC" w:rsidR="00A36183" w:rsidRPr="00A36183" w:rsidRDefault="00A36183" w:rsidP="00A36183">
            <w:pPr>
              <w:spacing w:line="276" w:lineRule="auto"/>
            </w:pPr>
          </w:p>
        </w:tc>
        <w:tc>
          <w:tcPr>
            <w:tcW w:w="996" w:type="dxa"/>
          </w:tcPr>
          <w:p w14:paraId="5F81ADC3" w14:textId="75ABDC66" w:rsidR="00A36183" w:rsidRPr="00A36183" w:rsidRDefault="00A36183" w:rsidP="00A36183">
            <w:pPr>
              <w:spacing w:line="276" w:lineRule="auto"/>
            </w:pPr>
          </w:p>
        </w:tc>
        <w:tc>
          <w:tcPr>
            <w:tcW w:w="996" w:type="dxa"/>
          </w:tcPr>
          <w:p w14:paraId="0CF3F5CC" w14:textId="582DF20E" w:rsidR="00A36183" w:rsidRPr="00A36183" w:rsidRDefault="00A36183" w:rsidP="00A36183">
            <w:pPr>
              <w:spacing w:line="276" w:lineRule="auto"/>
            </w:pPr>
          </w:p>
        </w:tc>
        <w:tc>
          <w:tcPr>
            <w:tcW w:w="996" w:type="dxa"/>
          </w:tcPr>
          <w:p w14:paraId="0629526D" w14:textId="32A0A6DB" w:rsidR="00A36183" w:rsidRPr="00A36183" w:rsidRDefault="00A36183" w:rsidP="00A36183">
            <w:pPr>
              <w:spacing w:line="276" w:lineRule="auto"/>
            </w:pPr>
          </w:p>
        </w:tc>
        <w:tc>
          <w:tcPr>
            <w:tcW w:w="996" w:type="dxa"/>
          </w:tcPr>
          <w:p w14:paraId="7A4BE5BA" w14:textId="27C10319" w:rsidR="00A36183" w:rsidRPr="00A36183" w:rsidRDefault="00A36183" w:rsidP="00A36183">
            <w:pPr>
              <w:spacing w:line="276" w:lineRule="auto"/>
            </w:pPr>
          </w:p>
        </w:tc>
        <w:tc>
          <w:tcPr>
            <w:tcW w:w="996" w:type="dxa"/>
          </w:tcPr>
          <w:p w14:paraId="4CB9115F" w14:textId="33142AF7" w:rsidR="00A36183" w:rsidRPr="00A36183" w:rsidRDefault="00A36183" w:rsidP="00A36183">
            <w:pPr>
              <w:spacing w:line="276" w:lineRule="auto"/>
            </w:pPr>
          </w:p>
        </w:tc>
      </w:tr>
      <w:tr w:rsidR="00A36183" w:rsidRPr="00A36183" w14:paraId="0CFB1133" w14:textId="77777777" w:rsidTr="00A36183">
        <w:trPr>
          <w:divId w:val="1771580101"/>
          <w:trHeight w:val="270"/>
        </w:trPr>
        <w:tc>
          <w:tcPr>
            <w:tcW w:w="2080" w:type="dxa"/>
            <w:hideMark/>
          </w:tcPr>
          <w:p w14:paraId="08751556" w14:textId="77777777" w:rsidR="00A36183" w:rsidRPr="00A36183" w:rsidRDefault="00A36183" w:rsidP="00A36183">
            <w:pPr>
              <w:spacing w:line="276" w:lineRule="auto"/>
              <w:rPr>
                <w:b/>
                <w:szCs w:val="24"/>
              </w:rPr>
            </w:pPr>
            <w:r w:rsidRPr="00A36183">
              <w:rPr>
                <w:b/>
                <w:szCs w:val="24"/>
              </w:rPr>
              <w:t>Kosto për grupet e tjera - në vazhdimësi</w:t>
            </w:r>
          </w:p>
        </w:tc>
        <w:tc>
          <w:tcPr>
            <w:tcW w:w="1176" w:type="dxa"/>
          </w:tcPr>
          <w:p w14:paraId="0EC02B22" w14:textId="46C027E2" w:rsidR="00A36183" w:rsidRPr="00A36183" w:rsidRDefault="00A36183" w:rsidP="00A36183">
            <w:pPr>
              <w:spacing w:line="276" w:lineRule="auto"/>
            </w:pPr>
          </w:p>
        </w:tc>
        <w:tc>
          <w:tcPr>
            <w:tcW w:w="996" w:type="dxa"/>
          </w:tcPr>
          <w:p w14:paraId="7D43753D" w14:textId="7DAF3CE5" w:rsidR="00A36183" w:rsidRPr="00A36183" w:rsidRDefault="00A36183" w:rsidP="00A36183">
            <w:pPr>
              <w:spacing w:line="276" w:lineRule="auto"/>
            </w:pPr>
          </w:p>
        </w:tc>
        <w:tc>
          <w:tcPr>
            <w:tcW w:w="996" w:type="dxa"/>
          </w:tcPr>
          <w:p w14:paraId="1FF5A6B7" w14:textId="35E718CD" w:rsidR="00A36183" w:rsidRPr="00A36183" w:rsidRDefault="00A36183" w:rsidP="00A36183">
            <w:pPr>
              <w:spacing w:line="276" w:lineRule="auto"/>
            </w:pPr>
          </w:p>
        </w:tc>
        <w:tc>
          <w:tcPr>
            <w:tcW w:w="996" w:type="dxa"/>
          </w:tcPr>
          <w:p w14:paraId="2E097035" w14:textId="15F6BE16" w:rsidR="00A36183" w:rsidRPr="00A36183" w:rsidRDefault="00A36183" w:rsidP="00A36183">
            <w:pPr>
              <w:spacing w:line="276" w:lineRule="auto"/>
            </w:pPr>
          </w:p>
        </w:tc>
        <w:tc>
          <w:tcPr>
            <w:tcW w:w="996" w:type="dxa"/>
          </w:tcPr>
          <w:p w14:paraId="3B225DCC" w14:textId="297F5BF0" w:rsidR="00A36183" w:rsidRPr="00A36183" w:rsidRDefault="00A36183" w:rsidP="00A36183">
            <w:pPr>
              <w:spacing w:line="276" w:lineRule="auto"/>
            </w:pPr>
          </w:p>
        </w:tc>
        <w:tc>
          <w:tcPr>
            <w:tcW w:w="996" w:type="dxa"/>
          </w:tcPr>
          <w:p w14:paraId="30752BF5" w14:textId="608355CC" w:rsidR="00A36183" w:rsidRPr="00A36183" w:rsidRDefault="00A36183" w:rsidP="00A36183">
            <w:pPr>
              <w:spacing w:line="276" w:lineRule="auto"/>
            </w:pPr>
          </w:p>
        </w:tc>
        <w:tc>
          <w:tcPr>
            <w:tcW w:w="996" w:type="dxa"/>
          </w:tcPr>
          <w:p w14:paraId="1A242F79" w14:textId="733201FE" w:rsidR="00A36183" w:rsidRPr="00A36183" w:rsidRDefault="00A36183" w:rsidP="00A36183">
            <w:pPr>
              <w:spacing w:line="276" w:lineRule="auto"/>
            </w:pPr>
          </w:p>
        </w:tc>
        <w:tc>
          <w:tcPr>
            <w:tcW w:w="996" w:type="dxa"/>
          </w:tcPr>
          <w:p w14:paraId="793DE3C9" w14:textId="4378250B" w:rsidR="00A36183" w:rsidRPr="00A36183" w:rsidRDefault="00A36183" w:rsidP="00A36183">
            <w:pPr>
              <w:spacing w:line="276" w:lineRule="auto"/>
            </w:pPr>
          </w:p>
        </w:tc>
        <w:tc>
          <w:tcPr>
            <w:tcW w:w="996" w:type="dxa"/>
          </w:tcPr>
          <w:p w14:paraId="56588403" w14:textId="30AEF84B" w:rsidR="00A36183" w:rsidRPr="00A36183" w:rsidRDefault="00A36183" w:rsidP="00A36183">
            <w:pPr>
              <w:spacing w:line="276" w:lineRule="auto"/>
            </w:pPr>
          </w:p>
        </w:tc>
        <w:tc>
          <w:tcPr>
            <w:tcW w:w="996" w:type="dxa"/>
          </w:tcPr>
          <w:p w14:paraId="1CCD59CF" w14:textId="194CC1AE" w:rsidR="00A36183" w:rsidRPr="00A36183" w:rsidRDefault="00A36183" w:rsidP="00A36183">
            <w:pPr>
              <w:spacing w:line="276" w:lineRule="auto"/>
            </w:pPr>
          </w:p>
        </w:tc>
      </w:tr>
      <w:tr w:rsidR="00A36183" w:rsidRPr="00A36183" w14:paraId="59072188" w14:textId="77777777" w:rsidTr="00A36183">
        <w:trPr>
          <w:divId w:val="1771580101"/>
          <w:trHeight w:val="285"/>
        </w:trPr>
        <w:tc>
          <w:tcPr>
            <w:tcW w:w="2080" w:type="dxa"/>
            <w:hideMark/>
          </w:tcPr>
          <w:p w14:paraId="16CF9172" w14:textId="77777777" w:rsidR="00A36183" w:rsidRPr="00A36183" w:rsidRDefault="00A36183" w:rsidP="00A36183">
            <w:pPr>
              <w:spacing w:line="276" w:lineRule="auto"/>
              <w:rPr>
                <w:b/>
                <w:bCs/>
                <w:szCs w:val="24"/>
              </w:rPr>
            </w:pPr>
            <w:r w:rsidRPr="00A36183">
              <w:rPr>
                <w:b/>
                <w:bCs/>
                <w:szCs w:val="24"/>
              </w:rPr>
              <w:t xml:space="preserve">Kosto në total </w:t>
            </w:r>
          </w:p>
        </w:tc>
        <w:tc>
          <w:tcPr>
            <w:tcW w:w="1176" w:type="dxa"/>
          </w:tcPr>
          <w:p w14:paraId="340B7391" w14:textId="23E7C9D7" w:rsidR="00A36183" w:rsidRPr="00A36183" w:rsidRDefault="00A36183" w:rsidP="00A36183">
            <w:pPr>
              <w:spacing w:line="276" w:lineRule="auto"/>
            </w:pPr>
          </w:p>
        </w:tc>
        <w:tc>
          <w:tcPr>
            <w:tcW w:w="996" w:type="dxa"/>
          </w:tcPr>
          <w:p w14:paraId="365D6183" w14:textId="4EB22950" w:rsidR="00A36183" w:rsidRPr="00A36183" w:rsidRDefault="00A36183" w:rsidP="00A36183">
            <w:pPr>
              <w:spacing w:line="276" w:lineRule="auto"/>
            </w:pPr>
          </w:p>
        </w:tc>
        <w:tc>
          <w:tcPr>
            <w:tcW w:w="996" w:type="dxa"/>
          </w:tcPr>
          <w:p w14:paraId="37729E48" w14:textId="3C7E2730" w:rsidR="00A36183" w:rsidRPr="00A36183" w:rsidRDefault="00A36183" w:rsidP="00A36183">
            <w:pPr>
              <w:spacing w:line="276" w:lineRule="auto"/>
            </w:pPr>
          </w:p>
        </w:tc>
        <w:tc>
          <w:tcPr>
            <w:tcW w:w="996" w:type="dxa"/>
          </w:tcPr>
          <w:p w14:paraId="432EF2C5" w14:textId="5CF19F6E" w:rsidR="00A36183" w:rsidRPr="00A36183" w:rsidRDefault="00A36183" w:rsidP="00A36183">
            <w:pPr>
              <w:spacing w:line="276" w:lineRule="auto"/>
            </w:pPr>
          </w:p>
        </w:tc>
        <w:tc>
          <w:tcPr>
            <w:tcW w:w="996" w:type="dxa"/>
          </w:tcPr>
          <w:p w14:paraId="7B243565" w14:textId="73F6C507" w:rsidR="00A36183" w:rsidRPr="00A36183" w:rsidRDefault="00A36183" w:rsidP="00A36183">
            <w:pPr>
              <w:spacing w:line="276" w:lineRule="auto"/>
            </w:pPr>
          </w:p>
        </w:tc>
        <w:tc>
          <w:tcPr>
            <w:tcW w:w="996" w:type="dxa"/>
          </w:tcPr>
          <w:p w14:paraId="37216EFC" w14:textId="3103A5A7" w:rsidR="00A36183" w:rsidRPr="00A36183" w:rsidRDefault="00A36183" w:rsidP="00A36183">
            <w:pPr>
              <w:spacing w:line="276" w:lineRule="auto"/>
            </w:pPr>
          </w:p>
        </w:tc>
        <w:tc>
          <w:tcPr>
            <w:tcW w:w="996" w:type="dxa"/>
          </w:tcPr>
          <w:p w14:paraId="18AB86CD" w14:textId="29620918" w:rsidR="00A36183" w:rsidRPr="00A36183" w:rsidRDefault="00A36183" w:rsidP="00A36183">
            <w:pPr>
              <w:spacing w:line="276" w:lineRule="auto"/>
            </w:pPr>
          </w:p>
        </w:tc>
        <w:tc>
          <w:tcPr>
            <w:tcW w:w="996" w:type="dxa"/>
          </w:tcPr>
          <w:p w14:paraId="075F245E" w14:textId="0125FCDB" w:rsidR="00A36183" w:rsidRPr="00A36183" w:rsidRDefault="00A36183" w:rsidP="00A36183">
            <w:pPr>
              <w:spacing w:line="276" w:lineRule="auto"/>
            </w:pPr>
          </w:p>
        </w:tc>
        <w:tc>
          <w:tcPr>
            <w:tcW w:w="996" w:type="dxa"/>
          </w:tcPr>
          <w:p w14:paraId="6802DEF9" w14:textId="6E3EFABC" w:rsidR="00A36183" w:rsidRPr="00A36183" w:rsidRDefault="00A36183" w:rsidP="00A36183">
            <w:pPr>
              <w:spacing w:line="276" w:lineRule="auto"/>
            </w:pPr>
          </w:p>
        </w:tc>
        <w:tc>
          <w:tcPr>
            <w:tcW w:w="996" w:type="dxa"/>
          </w:tcPr>
          <w:p w14:paraId="5130D278" w14:textId="54C6EB55" w:rsidR="00A36183" w:rsidRPr="00A36183" w:rsidRDefault="00A36183" w:rsidP="00A36183">
            <w:pPr>
              <w:spacing w:line="276" w:lineRule="auto"/>
            </w:pPr>
          </w:p>
        </w:tc>
      </w:tr>
      <w:tr w:rsidR="00A36183" w:rsidRPr="00A36183" w14:paraId="593238C8" w14:textId="77777777" w:rsidTr="00A36183">
        <w:trPr>
          <w:divId w:val="1771580101"/>
          <w:trHeight w:val="375"/>
        </w:trPr>
        <w:tc>
          <w:tcPr>
            <w:tcW w:w="2080" w:type="dxa"/>
            <w:hideMark/>
          </w:tcPr>
          <w:p w14:paraId="019E3361" w14:textId="77777777" w:rsidR="00A36183" w:rsidRPr="00A36183" w:rsidRDefault="00A36183" w:rsidP="00A36183">
            <w:pPr>
              <w:spacing w:line="276" w:lineRule="auto"/>
              <w:rPr>
                <w:b/>
                <w:bCs/>
                <w:szCs w:val="24"/>
              </w:rPr>
            </w:pPr>
            <w:r w:rsidRPr="00A36183">
              <w:rPr>
                <w:b/>
                <w:bCs/>
                <w:szCs w:val="24"/>
              </w:rPr>
              <w:t>Kosto e zbritur</w:t>
            </w:r>
            <w:r w:rsidRPr="00A36183">
              <w:rPr>
                <w:b/>
                <w:szCs w:val="24"/>
              </w:rPr>
              <w:t>= Kosto në total x Faktori zbritës</w:t>
            </w:r>
          </w:p>
        </w:tc>
        <w:tc>
          <w:tcPr>
            <w:tcW w:w="1176" w:type="dxa"/>
          </w:tcPr>
          <w:p w14:paraId="2D25C2F7" w14:textId="31ABCD09" w:rsidR="00A36183" w:rsidRPr="00A36183" w:rsidRDefault="00A36183" w:rsidP="00A36183">
            <w:pPr>
              <w:spacing w:line="276" w:lineRule="auto"/>
            </w:pPr>
          </w:p>
        </w:tc>
        <w:tc>
          <w:tcPr>
            <w:tcW w:w="996" w:type="dxa"/>
          </w:tcPr>
          <w:p w14:paraId="1CB55673" w14:textId="5B8252B5" w:rsidR="00A36183" w:rsidRPr="00A36183" w:rsidRDefault="00A36183" w:rsidP="00A36183">
            <w:pPr>
              <w:spacing w:line="276" w:lineRule="auto"/>
            </w:pPr>
          </w:p>
        </w:tc>
        <w:tc>
          <w:tcPr>
            <w:tcW w:w="996" w:type="dxa"/>
          </w:tcPr>
          <w:p w14:paraId="73C23B26" w14:textId="16627DD7" w:rsidR="00A36183" w:rsidRPr="00A36183" w:rsidRDefault="00A36183" w:rsidP="00A36183">
            <w:pPr>
              <w:spacing w:line="276" w:lineRule="auto"/>
            </w:pPr>
          </w:p>
        </w:tc>
        <w:tc>
          <w:tcPr>
            <w:tcW w:w="996" w:type="dxa"/>
          </w:tcPr>
          <w:p w14:paraId="7D64204B" w14:textId="516B2475" w:rsidR="00A36183" w:rsidRPr="00A36183" w:rsidRDefault="00A36183" w:rsidP="00A36183">
            <w:pPr>
              <w:spacing w:line="276" w:lineRule="auto"/>
            </w:pPr>
          </w:p>
        </w:tc>
        <w:tc>
          <w:tcPr>
            <w:tcW w:w="996" w:type="dxa"/>
          </w:tcPr>
          <w:p w14:paraId="0537CCAB" w14:textId="72C38250" w:rsidR="00A36183" w:rsidRPr="00A36183" w:rsidRDefault="00A36183" w:rsidP="00A36183">
            <w:pPr>
              <w:spacing w:line="276" w:lineRule="auto"/>
            </w:pPr>
          </w:p>
        </w:tc>
        <w:tc>
          <w:tcPr>
            <w:tcW w:w="996" w:type="dxa"/>
          </w:tcPr>
          <w:p w14:paraId="48B3737E" w14:textId="4136EA33" w:rsidR="00A36183" w:rsidRPr="00A36183" w:rsidRDefault="00A36183" w:rsidP="00A36183">
            <w:pPr>
              <w:spacing w:line="276" w:lineRule="auto"/>
            </w:pPr>
          </w:p>
        </w:tc>
        <w:tc>
          <w:tcPr>
            <w:tcW w:w="996" w:type="dxa"/>
          </w:tcPr>
          <w:p w14:paraId="27628B88" w14:textId="165B2213" w:rsidR="00A36183" w:rsidRPr="00A36183" w:rsidRDefault="00A36183" w:rsidP="00A36183">
            <w:pPr>
              <w:spacing w:line="276" w:lineRule="auto"/>
            </w:pPr>
          </w:p>
        </w:tc>
        <w:tc>
          <w:tcPr>
            <w:tcW w:w="996" w:type="dxa"/>
          </w:tcPr>
          <w:p w14:paraId="0A8FA352" w14:textId="2D57A4D4" w:rsidR="00A36183" w:rsidRPr="00A36183" w:rsidRDefault="00A36183" w:rsidP="00A36183">
            <w:pPr>
              <w:spacing w:line="276" w:lineRule="auto"/>
            </w:pPr>
          </w:p>
        </w:tc>
        <w:tc>
          <w:tcPr>
            <w:tcW w:w="996" w:type="dxa"/>
          </w:tcPr>
          <w:p w14:paraId="43793C22" w14:textId="70028FE8" w:rsidR="00A36183" w:rsidRPr="00A36183" w:rsidRDefault="00A36183" w:rsidP="00A36183">
            <w:pPr>
              <w:spacing w:line="276" w:lineRule="auto"/>
            </w:pPr>
          </w:p>
        </w:tc>
        <w:tc>
          <w:tcPr>
            <w:tcW w:w="996" w:type="dxa"/>
          </w:tcPr>
          <w:p w14:paraId="1D04B8CC" w14:textId="0E37068A" w:rsidR="00A36183" w:rsidRPr="00A36183" w:rsidRDefault="00A36183" w:rsidP="00A36183">
            <w:pPr>
              <w:spacing w:line="276" w:lineRule="auto"/>
            </w:pPr>
          </w:p>
        </w:tc>
      </w:tr>
      <w:tr w:rsidR="00A36183" w:rsidRPr="00A36183" w14:paraId="32477C19" w14:textId="77777777" w:rsidTr="00A36183">
        <w:trPr>
          <w:divId w:val="1771580101"/>
          <w:trHeight w:val="255"/>
        </w:trPr>
        <w:tc>
          <w:tcPr>
            <w:tcW w:w="2080" w:type="dxa"/>
            <w:hideMark/>
          </w:tcPr>
          <w:p w14:paraId="76B94637" w14:textId="77777777" w:rsidR="00A36183" w:rsidRPr="00A36183" w:rsidRDefault="00A36183" w:rsidP="00A36183">
            <w:pPr>
              <w:spacing w:line="276" w:lineRule="auto"/>
              <w:rPr>
                <w:b/>
                <w:szCs w:val="24"/>
              </w:rPr>
            </w:pPr>
            <w:r w:rsidRPr="00A36183">
              <w:rPr>
                <w:b/>
                <w:szCs w:val="24"/>
              </w:rPr>
              <w:t>Përfitimet për buxhetin – një herë</w:t>
            </w:r>
          </w:p>
        </w:tc>
        <w:tc>
          <w:tcPr>
            <w:tcW w:w="1176" w:type="dxa"/>
          </w:tcPr>
          <w:p w14:paraId="3CC7ABF5" w14:textId="24B19D9B" w:rsidR="00A36183" w:rsidRPr="00A36183" w:rsidRDefault="00A36183" w:rsidP="00A36183">
            <w:pPr>
              <w:spacing w:line="276" w:lineRule="auto"/>
            </w:pPr>
          </w:p>
        </w:tc>
        <w:tc>
          <w:tcPr>
            <w:tcW w:w="996" w:type="dxa"/>
          </w:tcPr>
          <w:p w14:paraId="531CB922" w14:textId="09769152" w:rsidR="00A36183" w:rsidRPr="00A36183" w:rsidRDefault="00A36183" w:rsidP="00A36183">
            <w:pPr>
              <w:spacing w:line="276" w:lineRule="auto"/>
            </w:pPr>
          </w:p>
        </w:tc>
        <w:tc>
          <w:tcPr>
            <w:tcW w:w="996" w:type="dxa"/>
          </w:tcPr>
          <w:p w14:paraId="0FF7331C" w14:textId="00F671C0" w:rsidR="00A36183" w:rsidRPr="00A36183" w:rsidRDefault="00A36183" w:rsidP="00A36183">
            <w:pPr>
              <w:spacing w:line="276" w:lineRule="auto"/>
            </w:pPr>
          </w:p>
        </w:tc>
        <w:tc>
          <w:tcPr>
            <w:tcW w:w="996" w:type="dxa"/>
          </w:tcPr>
          <w:p w14:paraId="19705FEA" w14:textId="7260A713" w:rsidR="00A36183" w:rsidRPr="00A36183" w:rsidRDefault="00A36183" w:rsidP="00A36183">
            <w:pPr>
              <w:spacing w:line="276" w:lineRule="auto"/>
            </w:pPr>
          </w:p>
        </w:tc>
        <w:tc>
          <w:tcPr>
            <w:tcW w:w="996" w:type="dxa"/>
          </w:tcPr>
          <w:p w14:paraId="071C43F7" w14:textId="66B6156B" w:rsidR="00A36183" w:rsidRPr="00A36183" w:rsidRDefault="00A36183" w:rsidP="00A36183">
            <w:pPr>
              <w:spacing w:line="276" w:lineRule="auto"/>
            </w:pPr>
          </w:p>
        </w:tc>
        <w:tc>
          <w:tcPr>
            <w:tcW w:w="996" w:type="dxa"/>
          </w:tcPr>
          <w:p w14:paraId="626817CC" w14:textId="28A89703" w:rsidR="00A36183" w:rsidRPr="00A36183" w:rsidRDefault="00A36183" w:rsidP="00A36183">
            <w:pPr>
              <w:spacing w:line="276" w:lineRule="auto"/>
            </w:pPr>
          </w:p>
        </w:tc>
        <w:tc>
          <w:tcPr>
            <w:tcW w:w="996" w:type="dxa"/>
          </w:tcPr>
          <w:p w14:paraId="4E65C85F" w14:textId="0B6B264A" w:rsidR="00A36183" w:rsidRPr="00A36183" w:rsidRDefault="00A36183" w:rsidP="00A36183">
            <w:pPr>
              <w:spacing w:line="276" w:lineRule="auto"/>
            </w:pPr>
          </w:p>
        </w:tc>
        <w:tc>
          <w:tcPr>
            <w:tcW w:w="996" w:type="dxa"/>
          </w:tcPr>
          <w:p w14:paraId="31C4C77E" w14:textId="752E471D" w:rsidR="00A36183" w:rsidRPr="00A36183" w:rsidRDefault="00A36183" w:rsidP="00A36183">
            <w:pPr>
              <w:spacing w:line="276" w:lineRule="auto"/>
            </w:pPr>
          </w:p>
        </w:tc>
        <w:tc>
          <w:tcPr>
            <w:tcW w:w="996" w:type="dxa"/>
          </w:tcPr>
          <w:p w14:paraId="65260496" w14:textId="52287571" w:rsidR="00A36183" w:rsidRPr="00A36183" w:rsidRDefault="00A36183" w:rsidP="00A36183">
            <w:pPr>
              <w:spacing w:line="276" w:lineRule="auto"/>
            </w:pPr>
          </w:p>
        </w:tc>
        <w:tc>
          <w:tcPr>
            <w:tcW w:w="996" w:type="dxa"/>
          </w:tcPr>
          <w:p w14:paraId="7E8AEA32" w14:textId="26E59F99" w:rsidR="00A36183" w:rsidRPr="00A36183" w:rsidRDefault="00A36183" w:rsidP="00A36183">
            <w:pPr>
              <w:spacing w:line="276" w:lineRule="auto"/>
            </w:pPr>
          </w:p>
        </w:tc>
      </w:tr>
      <w:tr w:rsidR="00A36183" w:rsidRPr="00A36183" w14:paraId="31DE6268" w14:textId="77777777" w:rsidTr="00A36183">
        <w:trPr>
          <w:divId w:val="1771580101"/>
          <w:trHeight w:val="255"/>
        </w:trPr>
        <w:tc>
          <w:tcPr>
            <w:tcW w:w="2080" w:type="dxa"/>
            <w:hideMark/>
          </w:tcPr>
          <w:p w14:paraId="7B708F57" w14:textId="77777777" w:rsidR="00A36183" w:rsidRPr="00A36183" w:rsidRDefault="00A36183" w:rsidP="00A36183">
            <w:pPr>
              <w:spacing w:line="276" w:lineRule="auto"/>
              <w:rPr>
                <w:b/>
                <w:szCs w:val="24"/>
              </w:rPr>
            </w:pPr>
            <w:r w:rsidRPr="00A36183">
              <w:rPr>
                <w:b/>
                <w:szCs w:val="24"/>
              </w:rPr>
              <w:t>Përfitimet për buxhetin – në vazhdimësi</w:t>
            </w:r>
          </w:p>
        </w:tc>
        <w:tc>
          <w:tcPr>
            <w:tcW w:w="1176" w:type="dxa"/>
          </w:tcPr>
          <w:p w14:paraId="2837E8A7" w14:textId="3C610F13" w:rsidR="00A36183" w:rsidRPr="00A36183" w:rsidRDefault="00A36183" w:rsidP="00A36183">
            <w:pPr>
              <w:spacing w:line="276" w:lineRule="auto"/>
            </w:pPr>
          </w:p>
        </w:tc>
        <w:tc>
          <w:tcPr>
            <w:tcW w:w="996" w:type="dxa"/>
          </w:tcPr>
          <w:p w14:paraId="03E525D0" w14:textId="6FF2457F" w:rsidR="00A36183" w:rsidRPr="00A36183" w:rsidRDefault="00A36183" w:rsidP="00A36183">
            <w:pPr>
              <w:spacing w:line="276" w:lineRule="auto"/>
            </w:pPr>
          </w:p>
        </w:tc>
        <w:tc>
          <w:tcPr>
            <w:tcW w:w="996" w:type="dxa"/>
          </w:tcPr>
          <w:p w14:paraId="08E8598F" w14:textId="5F739399" w:rsidR="00A36183" w:rsidRPr="00A36183" w:rsidRDefault="00A36183" w:rsidP="00A36183">
            <w:pPr>
              <w:spacing w:line="276" w:lineRule="auto"/>
            </w:pPr>
          </w:p>
        </w:tc>
        <w:tc>
          <w:tcPr>
            <w:tcW w:w="996" w:type="dxa"/>
          </w:tcPr>
          <w:p w14:paraId="54C070E1" w14:textId="7255C500" w:rsidR="00A36183" w:rsidRPr="00A36183" w:rsidRDefault="00A36183" w:rsidP="00A36183">
            <w:pPr>
              <w:spacing w:line="276" w:lineRule="auto"/>
            </w:pPr>
          </w:p>
        </w:tc>
        <w:tc>
          <w:tcPr>
            <w:tcW w:w="996" w:type="dxa"/>
          </w:tcPr>
          <w:p w14:paraId="75B74ED6" w14:textId="27D004D2" w:rsidR="00A36183" w:rsidRPr="00A36183" w:rsidRDefault="00A36183" w:rsidP="00A36183">
            <w:pPr>
              <w:spacing w:line="276" w:lineRule="auto"/>
            </w:pPr>
          </w:p>
        </w:tc>
        <w:tc>
          <w:tcPr>
            <w:tcW w:w="996" w:type="dxa"/>
          </w:tcPr>
          <w:p w14:paraId="1458658D" w14:textId="43E448F7" w:rsidR="00A36183" w:rsidRPr="00A36183" w:rsidRDefault="00A36183" w:rsidP="00A36183">
            <w:pPr>
              <w:spacing w:line="276" w:lineRule="auto"/>
            </w:pPr>
          </w:p>
        </w:tc>
        <w:tc>
          <w:tcPr>
            <w:tcW w:w="996" w:type="dxa"/>
          </w:tcPr>
          <w:p w14:paraId="1E3C84CD" w14:textId="3574260B" w:rsidR="00A36183" w:rsidRPr="00A36183" w:rsidRDefault="00A36183" w:rsidP="00A36183">
            <w:pPr>
              <w:spacing w:line="276" w:lineRule="auto"/>
            </w:pPr>
          </w:p>
        </w:tc>
        <w:tc>
          <w:tcPr>
            <w:tcW w:w="996" w:type="dxa"/>
          </w:tcPr>
          <w:p w14:paraId="12BF7741" w14:textId="528E3AD7" w:rsidR="00A36183" w:rsidRPr="00A36183" w:rsidRDefault="00A36183" w:rsidP="00A36183">
            <w:pPr>
              <w:spacing w:line="276" w:lineRule="auto"/>
            </w:pPr>
          </w:p>
        </w:tc>
        <w:tc>
          <w:tcPr>
            <w:tcW w:w="996" w:type="dxa"/>
          </w:tcPr>
          <w:p w14:paraId="564EB6BA" w14:textId="6200C4E4" w:rsidR="00A36183" w:rsidRPr="00A36183" w:rsidRDefault="00A36183" w:rsidP="00A36183">
            <w:pPr>
              <w:spacing w:line="276" w:lineRule="auto"/>
            </w:pPr>
          </w:p>
        </w:tc>
        <w:tc>
          <w:tcPr>
            <w:tcW w:w="996" w:type="dxa"/>
          </w:tcPr>
          <w:p w14:paraId="24C4EDAA" w14:textId="4CF805BB" w:rsidR="00A36183" w:rsidRPr="00A36183" w:rsidRDefault="00A36183" w:rsidP="00A36183">
            <w:pPr>
              <w:spacing w:line="276" w:lineRule="auto"/>
            </w:pPr>
          </w:p>
        </w:tc>
      </w:tr>
      <w:tr w:rsidR="00A36183" w:rsidRPr="00A36183" w14:paraId="6F5DFACF" w14:textId="77777777" w:rsidTr="00A36183">
        <w:trPr>
          <w:divId w:val="1771580101"/>
          <w:trHeight w:val="255"/>
        </w:trPr>
        <w:tc>
          <w:tcPr>
            <w:tcW w:w="2080" w:type="dxa"/>
            <w:hideMark/>
          </w:tcPr>
          <w:p w14:paraId="3B720CD8" w14:textId="77777777" w:rsidR="00A36183" w:rsidRPr="00A36183" w:rsidRDefault="00A36183" w:rsidP="00A36183">
            <w:pPr>
              <w:spacing w:line="276" w:lineRule="auto"/>
              <w:rPr>
                <w:b/>
                <w:szCs w:val="24"/>
              </w:rPr>
            </w:pPr>
            <w:r w:rsidRPr="00A36183">
              <w:rPr>
                <w:b/>
                <w:szCs w:val="24"/>
              </w:rPr>
              <w:t>Përfitimet për grupet e tjera – një herë</w:t>
            </w:r>
          </w:p>
        </w:tc>
        <w:tc>
          <w:tcPr>
            <w:tcW w:w="1176" w:type="dxa"/>
          </w:tcPr>
          <w:p w14:paraId="216384E0" w14:textId="02F5F2A9" w:rsidR="00A36183" w:rsidRPr="00A36183" w:rsidRDefault="00A36183" w:rsidP="00A36183">
            <w:pPr>
              <w:spacing w:line="276" w:lineRule="auto"/>
            </w:pPr>
          </w:p>
        </w:tc>
        <w:tc>
          <w:tcPr>
            <w:tcW w:w="996" w:type="dxa"/>
          </w:tcPr>
          <w:p w14:paraId="01ED4704" w14:textId="4E6139DF" w:rsidR="00A36183" w:rsidRPr="00A36183" w:rsidRDefault="00A36183" w:rsidP="00A36183">
            <w:pPr>
              <w:spacing w:line="276" w:lineRule="auto"/>
            </w:pPr>
          </w:p>
        </w:tc>
        <w:tc>
          <w:tcPr>
            <w:tcW w:w="996" w:type="dxa"/>
          </w:tcPr>
          <w:p w14:paraId="06CA1C6E" w14:textId="3ED00BCB" w:rsidR="00A36183" w:rsidRPr="00A36183" w:rsidRDefault="00A36183" w:rsidP="00A36183">
            <w:pPr>
              <w:spacing w:line="276" w:lineRule="auto"/>
            </w:pPr>
          </w:p>
        </w:tc>
        <w:tc>
          <w:tcPr>
            <w:tcW w:w="996" w:type="dxa"/>
          </w:tcPr>
          <w:p w14:paraId="12B14F61" w14:textId="13D072C8" w:rsidR="00A36183" w:rsidRPr="00A36183" w:rsidRDefault="00A36183" w:rsidP="00A36183">
            <w:pPr>
              <w:spacing w:line="276" w:lineRule="auto"/>
            </w:pPr>
          </w:p>
        </w:tc>
        <w:tc>
          <w:tcPr>
            <w:tcW w:w="996" w:type="dxa"/>
          </w:tcPr>
          <w:p w14:paraId="373EF52D" w14:textId="2D68429E" w:rsidR="00A36183" w:rsidRPr="00A36183" w:rsidRDefault="00A36183" w:rsidP="00A36183">
            <w:pPr>
              <w:spacing w:line="276" w:lineRule="auto"/>
            </w:pPr>
          </w:p>
        </w:tc>
        <w:tc>
          <w:tcPr>
            <w:tcW w:w="996" w:type="dxa"/>
          </w:tcPr>
          <w:p w14:paraId="05508BBE" w14:textId="0D13030A" w:rsidR="00A36183" w:rsidRPr="00A36183" w:rsidRDefault="00A36183" w:rsidP="00A36183">
            <w:pPr>
              <w:spacing w:line="276" w:lineRule="auto"/>
            </w:pPr>
          </w:p>
        </w:tc>
        <w:tc>
          <w:tcPr>
            <w:tcW w:w="996" w:type="dxa"/>
          </w:tcPr>
          <w:p w14:paraId="7E0D9F48" w14:textId="75B71E51" w:rsidR="00A36183" w:rsidRPr="00A36183" w:rsidRDefault="00A36183" w:rsidP="00A36183">
            <w:pPr>
              <w:spacing w:line="276" w:lineRule="auto"/>
            </w:pPr>
          </w:p>
        </w:tc>
        <w:tc>
          <w:tcPr>
            <w:tcW w:w="996" w:type="dxa"/>
          </w:tcPr>
          <w:p w14:paraId="6BA49440" w14:textId="6F499A73" w:rsidR="00A36183" w:rsidRPr="00A36183" w:rsidRDefault="00A36183" w:rsidP="00A36183">
            <w:pPr>
              <w:spacing w:line="276" w:lineRule="auto"/>
            </w:pPr>
          </w:p>
        </w:tc>
        <w:tc>
          <w:tcPr>
            <w:tcW w:w="996" w:type="dxa"/>
          </w:tcPr>
          <w:p w14:paraId="23D84846" w14:textId="0506C1E8" w:rsidR="00A36183" w:rsidRPr="00A36183" w:rsidRDefault="00A36183" w:rsidP="00A36183">
            <w:pPr>
              <w:spacing w:line="276" w:lineRule="auto"/>
            </w:pPr>
          </w:p>
        </w:tc>
        <w:tc>
          <w:tcPr>
            <w:tcW w:w="996" w:type="dxa"/>
          </w:tcPr>
          <w:p w14:paraId="3B5963FF" w14:textId="728C2224" w:rsidR="00A36183" w:rsidRPr="00A36183" w:rsidRDefault="00A36183" w:rsidP="00A36183">
            <w:pPr>
              <w:spacing w:line="276" w:lineRule="auto"/>
            </w:pPr>
          </w:p>
        </w:tc>
      </w:tr>
      <w:tr w:rsidR="00A36183" w:rsidRPr="00A36183" w14:paraId="26A99C46" w14:textId="77777777" w:rsidTr="00A36183">
        <w:trPr>
          <w:divId w:val="1771580101"/>
          <w:trHeight w:val="255"/>
        </w:trPr>
        <w:tc>
          <w:tcPr>
            <w:tcW w:w="2080" w:type="dxa"/>
            <w:hideMark/>
          </w:tcPr>
          <w:p w14:paraId="036BDADA" w14:textId="77777777" w:rsidR="00A36183" w:rsidRPr="00A36183" w:rsidRDefault="00A36183" w:rsidP="00A36183">
            <w:pPr>
              <w:spacing w:line="276" w:lineRule="auto"/>
              <w:rPr>
                <w:b/>
                <w:szCs w:val="24"/>
              </w:rPr>
            </w:pPr>
            <w:r w:rsidRPr="00A36183">
              <w:rPr>
                <w:b/>
                <w:szCs w:val="24"/>
              </w:rPr>
              <w:t>Përfitimet për grupet e tjera – në vazhdimësi</w:t>
            </w:r>
          </w:p>
        </w:tc>
        <w:tc>
          <w:tcPr>
            <w:tcW w:w="1176" w:type="dxa"/>
          </w:tcPr>
          <w:p w14:paraId="5BB79637" w14:textId="5EE93FC3" w:rsidR="00A36183" w:rsidRPr="00A36183" w:rsidRDefault="00A36183" w:rsidP="00A36183">
            <w:pPr>
              <w:spacing w:line="276" w:lineRule="auto"/>
            </w:pPr>
          </w:p>
        </w:tc>
        <w:tc>
          <w:tcPr>
            <w:tcW w:w="996" w:type="dxa"/>
          </w:tcPr>
          <w:p w14:paraId="2D0A9E96" w14:textId="0E9AACF1" w:rsidR="00A36183" w:rsidRPr="00A36183" w:rsidRDefault="00A36183" w:rsidP="00A36183">
            <w:pPr>
              <w:spacing w:line="276" w:lineRule="auto"/>
            </w:pPr>
          </w:p>
        </w:tc>
        <w:tc>
          <w:tcPr>
            <w:tcW w:w="996" w:type="dxa"/>
          </w:tcPr>
          <w:p w14:paraId="0B72BBD5" w14:textId="4EBB9D9F" w:rsidR="00A36183" w:rsidRPr="00A36183" w:rsidRDefault="00A36183" w:rsidP="00A36183">
            <w:pPr>
              <w:spacing w:line="276" w:lineRule="auto"/>
            </w:pPr>
          </w:p>
        </w:tc>
        <w:tc>
          <w:tcPr>
            <w:tcW w:w="996" w:type="dxa"/>
          </w:tcPr>
          <w:p w14:paraId="4B9C9DF7" w14:textId="00C633BE" w:rsidR="00A36183" w:rsidRPr="00A36183" w:rsidRDefault="00A36183" w:rsidP="00A36183">
            <w:pPr>
              <w:spacing w:line="276" w:lineRule="auto"/>
            </w:pPr>
          </w:p>
        </w:tc>
        <w:tc>
          <w:tcPr>
            <w:tcW w:w="996" w:type="dxa"/>
          </w:tcPr>
          <w:p w14:paraId="5264E06D" w14:textId="23DD6DB3" w:rsidR="00A36183" w:rsidRPr="00A36183" w:rsidRDefault="00A36183" w:rsidP="00A36183">
            <w:pPr>
              <w:spacing w:line="276" w:lineRule="auto"/>
            </w:pPr>
          </w:p>
        </w:tc>
        <w:tc>
          <w:tcPr>
            <w:tcW w:w="996" w:type="dxa"/>
          </w:tcPr>
          <w:p w14:paraId="03028B52" w14:textId="02D44165" w:rsidR="00A36183" w:rsidRPr="00A36183" w:rsidRDefault="00A36183" w:rsidP="00A36183">
            <w:pPr>
              <w:spacing w:line="276" w:lineRule="auto"/>
            </w:pPr>
          </w:p>
        </w:tc>
        <w:tc>
          <w:tcPr>
            <w:tcW w:w="996" w:type="dxa"/>
          </w:tcPr>
          <w:p w14:paraId="13A7747A" w14:textId="220DB48D" w:rsidR="00A36183" w:rsidRPr="00A36183" w:rsidRDefault="00A36183" w:rsidP="00A36183">
            <w:pPr>
              <w:spacing w:line="276" w:lineRule="auto"/>
            </w:pPr>
          </w:p>
        </w:tc>
        <w:tc>
          <w:tcPr>
            <w:tcW w:w="996" w:type="dxa"/>
          </w:tcPr>
          <w:p w14:paraId="1A2C1BD4" w14:textId="7A3D7064" w:rsidR="00A36183" w:rsidRPr="00A36183" w:rsidRDefault="00A36183" w:rsidP="00A36183">
            <w:pPr>
              <w:spacing w:line="276" w:lineRule="auto"/>
            </w:pPr>
          </w:p>
        </w:tc>
        <w:tc>
          <w:tcPr>
            <w:tcW w:w="996" w:type="dxa"/>
          </w:tcPr>
          <w:p w14:paraId="293464A4" w14:textId="13A9F58A" w:rsidR="00A36183" w:rsidRPr="00A36183" w:rsidRDefault="00A36183" w:rsidP="00A36183">
            <w:pPr>
              <w:spacing w:line="276" w:lineRule="auto"/>
            </w:pPr>
          </w:p>
        </w:tc>
        <w:tc>
          <w:tcPr>
            <w:tcW w:w="996" w:type="dxa"/>
          </w:tcPr>
          <w:p w14:paraId="5A05AC23" w14:textId="306AFE49" w:rsidR="00A36183" w:rsidRPr="00A36183" w:rsidRDefault="00A36183" w:rsidP="00A36183">
            <w:pPr>
              <w:spacing w:line="276" w:lineRule="auto"/>
            </w:pPr>
          </w:p>
        </w:tc>
      </w:tr>
      <w:tr w:rsidR="00A36183" w:rsidRPr="00A36183" w14:paraId="31B3C520" w14:textId="77777777" w:rsidTr="00A36183">
        <w:trPr>
          <w:divId w:val="1771580101"/>
          <w:trHeight w:val="255"/>
        </w:trPr>
        <w:tc>
          <w:tcPr>
            <w:tcW w:w="2080" w:type="dxa"/>
            <w:hideMark/>
          </w:tcPr>
          <w:p w14:paraId="53DCEFF0" w14:textId="77777777" w:rsidR="00A36183" w:rsidRPr="00A36183" w:rsidRDefault="00A36183" w:rsidP="00A36183">
            <w:pPr>
              <w:spacing w:line="276" w:lineRule="auto"/>
              <w:rPr>
                <w:b/>
                <w:szCs w:val="24"/>
              </w:rPr>
            </w:pPr>
            <w:r w:rsidRPr="00A36183">
              <w:rPr>
                <w:b/>
                <w:szCs w:val="24"/>
              </w:rPr>
              <w:t>Përfitimet për biznesin – një herë</w:t>
            </w:r>
          </w:p>
        </w:tc>
        <w:tc>
          <w:tcPr>
            <w:tcW w:w="1176" w:type="dxa"/>
          </w:tcPr>
          <w:p w14:paraId="5DEDA11A" w14:textId="12DA6A93" w:rsidR="00A36183" w:rsidRPr="00A36183" w:rsidRDefault="00A36183" w:rsidP="00A36183">
            <w:pPr>
              <w:spacing w:line="276" w:lineRule="auto"/>
            </w:pPr>
          </w:p>
        </w:tc>
        <w:tc>
          <w:tcPr>
            <w:tcW w:w="996" w:type="dxa"/>
          </w:tcPr>
          <w:p w14:paraId="004A5743" w14:textId="3363B318" w:rsidR="00A36183" w:rsidRPr="00A36183" w:rsidRDefault="00A36183" w:rsidP="00A36183">
            <w:pPr>
              <w:spacing w:line="276" w:lineRule="auto"/>
            </w:pPr>
          </w:p>
        </w:tc>
        <w:tc>
          <w:tcPr>
            <w:tcW w:w="996" w:type="dxa"/>
          </w:tcPr>
          <w:p w14:paraId="3F025FA2" w14:textId="49E36342" w:rsidR="00A36183" w:rsidRPr="00A36183" w:rsidRDefault="00A36183" w:rsidP="00A36183">
            <w:pPr>
              <w:spacing w:line="276" w:lineRule="auto"/>
            </w:pPr>
          </w:p>
        </w:tc>
        <w:tc>
          <w:tcPr>
            <w:tcW w:w="996" w:type="dxa"/>
          </w:tcPr>
          <w:p w14:paraId="591BAFD4" w14:textId="5014D2AF" w:rsidR="00A36183" w:rsidRPr="00A36183" w:rsidRDefault="00A36183" w:rsidP="00A36183">
            <w:pPr>
              <w:spacing w:line="276" w:lineRule="auto"/>
            </w:pPr>
          </w:p>
        </w:tc>
        <w:tc>
          <w:tcPr>
            <w:tcW w:w="996" w:type="dxa"/>
          </w:tcPr>
          <w:p w14:paraId="16354869" w14:textId="6CC4AC59" w:rsidR="00A36183" w:rsidRPr="00A36183" w:rsidRDefault="00A36183" w:rsidP="00A36183">
            <w:pPr>
              <w:spacing w:line="276" w:lineRule="auto"/>
            </w:pPr>
          </w:p>
        </w:tc>
        <w:tc>
          <w:tcPr>
            <w:tcW w:w="996" w:type="dxa"/>
          </w:tcPr>
          <w:p w14:paraId="1527A94E" w14:textId="22FA05FE" w:rsidR="00A36183" w:rsidRPr="00A36183" w:rsidRDefault="00A36183" w:rsidP="00A36183">
            <w:pPr>
              <w:spacing w:line="276" w:lineRule="auto"/>
            </w:pPr>
          </w:p>
        </w:tc>
        <w:tc>
          <w:tcPr>
            <w:tcW w:w="996" w:type="dxa"/>
          </w:tcPr>
          <w:p w14:paraId="2D96E1EA" w14:textId="31F51A2D" w:rsidR="00A36183" w:rsidRPr="00A36183" w:rsidRDefault="00A36183" w:rsidP="00A36183">
            <w:pPr>
              <w:spacing w:line="276" w:lineRule="auto"/>
            </w:pPr>
          </w:p>
        </w:tc>
        <w:tc>
          <w:tcPr>
            <w:tcW w:w="996" w:type="dxa"/>
          </w:tcPr>
          <w:p w14:paraId="106599EA" w14:textId="7DEAC0D8" w:rsidR="00A36183" w:rsidRPr="00A36183" w:rsidRDefault="00A36183" w:rsidP="00A36183">
            <w:pPr>
              <w:spacing w:line="276" w:lineRule="auto"/>
            </w:pPr>
          </w:p>
        </w:tc>
        <w:tc>
          <w:tcPr>
            <w:tcW w:w="996" w:type="dxa"/>
          </w:tcPr>
          <w:p w14:paraId="24CE598F" w14:textId="7569FBB8" w:rsidR="00A36183" w:rsidRPr="00A36183" w:rsidRDefault="00A36183" w:rsidP="00A36183">
            <w:pPr>
              <w:spacing w:line="276" w:lineRule="auto"/>
            </w:pPr>
          </w:p>
        </w:tc>
        <w:tc>
          <w:tcPr>
            <w:tcW w:w="996" w:type="dxa"/>
          </w:tcPr>
          <w:p w14:paraId="1B4E9B98" w14:textId="35400E1B" w:rsidR="00A36183" w:rsidRPr="00A36183" w:rsidRDefault="00A36183" w:rsidP="00A36183">
            <w:pPr>
              <w:spacing w:line="276" w:lineRule="auto"/>
            </w:pPr>
          </w:p>
        </w:tc>
      </w:tr>
      <w:tr w:rsidR="00A36183" w:rsidRPr="00A36183" w14:paraId="07E6F1F7" w14:textId="77777777" w:rsidTr="00A36183">
        <w:trPr>
          <w:divId w:val="1771580101"/>
          <w:trHeight w:val="270"/>
        </w:trPr>
        <w:tc>
          <w:tcPr>
            <w:tcW w:w="2080" w:type="dxa"/>
            <w:hideMark/>
          </w:tcPr>
          <w:p w14:paraId="589E2B39" w14:textId="77777777" w:rsidR="00A36183" w:rsidRPr="00A36183" w:rsidRDefault="00A36183" w:rsidP="00A36183">
            <w:pPr>
              <w:spacing w:line="276" w:lineRule="auto"/>
              <w:rPr>
                <w:b/>
                <w:szCs w:val="24"/>
              </w:rPr>
            </w:pPr>
            <w:r w:rsidRPr="00A36183">
              <w:rPr>
                <w:b/>
                <w:szCs w:val="24"/>
              </w:rPr>
              <w:t>Përfitimet për biznesin – në vazhdimësi</w:t>
            </w:r>
          </w:p>
        </w:tc>
        <w:tc>
          <w:tcPr>
            <w:tcW w:w="1176" w:type="dxa"/>
          </w:tcPr>
          <w:p w14:paraId="46ED184D" w14:textId="3F6C5A43" w:rsidR="00A36183" w:rsidRPr="00A36183" w:rsidRDefault="00A36183" w:rsidP="00A36183">
            <w:pPr>
              <w:spacing w:line="276" w:lineRule="auto"/>
            </w:pPr>
          </w:p>
        </w:tc>
        <w:tc>
          <w:tcPr>
            <w:tcW w:w="996" w:type="dxa"/>
          </w:tcPr>
          <w:p w14:paraId="10CA1FB6" w14:textId="52A5D86B" w:rsidR="00A36183" w:rsidRPr="00A36183" w:rsidRDefault="00A36183" w:rsidP="00A36183">
            <w:pPr>
              <w:spacing w:line="276" w:lineRule="auto"/>
            </w:pPr>
          </w:p>
        </w:tc>
        <w:tc>
          <w:tcPr>
            <w:tcW w:w="996" w:type="dxa"/>
          </w:tcPr>
          <w:p w14:paraId="352F4583" w14:textId="2B2557CB" w:rsidR="00A36183" w:rsidRPr="00A36183" w:rsidRDefault="00A36183" w:rsidP="00A36183">
            <w:pPr>
              <w:spacing w:line="276" w:lineRule="auto"/>
            </w:pPr>
          </w:p>
        </w:tc>
        <w:tc>
          <w:tcPr>
            <w:tcW w:w="996" w:type="dxa"/>
          </w:tcPr>
          <w:p w14:paraId="718A7580" w14:textId="5BA02E84" w:rsidR="00A36183" w:rsidRPr="00A36183" w:rsidRDefault="00A36183" w:rsidP="00A36183">
            <w:pPr>
              <w:spacing w:line="276" w:lineRule="auto"/>
            </w:pPr>
          </w:p>
        </w:tc>
        <w:tc>
          <w:tcPr>
            <w:tcW w:w="996" w:type="dxa"/>
          </w:tcPr>
          <w:p w14:paraId="67CA9134" w14:textId="7901F851" w:rsidR="00A36183" w:rsidRPr="00A36183" w:rsidRDefault="00A36183" w:rsidP="00A36183">
            <w:pPr>
              <w:spacing w:line="276" w:lineRule="auto"/>
            </w:pPr>
          </w:p>
        </w:tc>
        <w:tc>
          <w:tcPr>
            <w:tcW w:w="996" w:type="dxa"/>
          </w:tcPr>
          <w:p w14:paraId="613172B2" w14:textId="21313D1B" w:rsidR="00A36183" w:rsidRPr="00A36183" w:rsidRDefault="00A36183" w:rsidP="00A36183">
            <w:pPr>
              <w:spacing w:line="276" w:lineRule="auto"/>
            </w:pPr>
          </w:p>
        </w:tc>
        <w:tc>
          <w:tcPr>
            <w:tcW w:w="996" w:type="dxa"/>
          </w:tcPr>
          <w:p w14:paraId="410A0BB4" w14:textId="1F51D3A6" w:rsidR="00A36183" w:rsidRPr="00A36183" w:rsidRDefault="00A36183" w:rsidP="00A36183">
            <w:pPr>
              <w:spacing w:line="276" w:lineRule="auto"/>
            </w:pPr>
          </w:p>
        </w:tc>
        <w:tc>
          <w:tcPr>
            <w:tcW w:w="996" w:type="dxa"/>
          </w:tcPr>
          <w:p w14:paraId="396FC797" w14:textId="34A7AAD7" w:rsidR="00A36183" w:rsidRPr="00A36183" w:rsidRDefault="00A36183" w:rsidP="00A36183">
            <w:pPr>
              <w:spacing w:line="276" w:lineRule="auto"/>
            </w:pPr>
          </w:p>
        </w:tc>
        <w:tc>
          <w:tcPr>
            <w:tcW w:w="996" w:type="dxa"/>
          </w:tcPr>
          <w:p w14:paraId="1048C579" w14:textId="44CAD705" w:rsidR="00A36183" w:rsidRPr="00A36183" w:rsidRDefault="00A36183" w:rsidP="00A36183">
            <w:pPr>
              <w:spacing w:line="276" w:lineRule="auto"/>
            </w:pPr>
          </w:p>
        </w:tc>
        <w:tc>
          <w:tcPr>
            <w:tcW w:w="996" w:type="dxa"/>
          </w:tcPr>
          <w:p w14:paraId="52CC6FB9" w14:textId="60374E7C" w:rsidR="00A36183" w:rsidRPr="00A36183" w:rsidRDefault="00A36183" w:rsidP="00A36183">
            <w:pPr>
              <w:spacing w:line="276" w:lineRule="auto"/>
            </w:pPr>
          </w:p>
        </w:tc>
      </w:tr>
      <w:tr w:rsidR="00A36183" w:rsidRPr="00A36183" w14:paraId="770EA53B" w14:textId="77777777" w:rsidTr="00A36183">
        <w:trPr>
          <w:divId w:val="1771580101"/>
          <w:trHeight w:val="285"/>
        </w:trPr>
        <w:tc>
          <w:tcPr>
            <w:tcW w:w="2080" w:type="dxa"/>
            <w:hideMark/>
          </w:tcPr>
          <w:p w14:paraId="41DD3778" w14:textId="77777777" w:rsidR="00A36183" w:rsidRPr="00A36183" w:rsidRDefault="00A36183" w:rsidP="00A36183">
            <w:pPr>
              <w:spacing w:line="276" w:lineRule="auto"/>
              <w:rPr>
                <w:b/>
                <w:bCs/>
                <w:szCs w:val="24"/>
              </w:rPr>
            </w:pPr>
            <w:r w:rsidRPr="00A36183">
              <w:rPr>
                <w:b/>
                <w:bCs/>
                <w:szCs w:val="24"/>
              </w:rPr>
              <w:t>Përfitimet totale</w:t>
            </w:r>
          </w:p>
        </w:tc>
        <w:tc>
          <w:tcPr>
            <w:tcW w:w="1176" w:type="dxa"/>
          </w:tcPr>
          <w:p w14:paraId="5EA5CCE9" w14:textId="0D716E5C" w:rsidR="00A36183" w:rsidRPr="00A36183" w:rsidRDefault="00A36183" w:rsidP="00A36183">
            <w:pPr>
              <w:spacing w:line="276" w:lineRule="auto"/>
            </w:pPr>
          </w:p>
        </w:tc>
        <w:tc>
          <w:tcPr>
            <w:tcW w:w="996" w:type="dxa"/>
          </w:tcPr>
          <w:p w14:paraId="19B2EA14" w14:textId="1FAEBC10" w:rsidR="00A36183" w:rsidRPr="00A36183" w:rsidRDefault="00A36183" w:rsidP="00A36183">
            <w:pPr>
              <w:spacing w:line="276" w:lineRule="auto"/>
            </w:pPr>
          </w:p>
        </w:tc>
        <w:tc>
          <w:tcPr>
            <w:tcW w:w="996" w:type="dxa"/>
          </w:tcPr>
          <w:p w14:paraId="7FCAB629" w14:textId="421E4E4D" w:rsidR="00A36183" w:rsidRPr="00A36183" w:rsidRDefault="00A36183" w:rsidP="00A36183">
            <w:pPr>
              <w:spacing w:line="276" w:lineRule="auto"/>
            </w:pPr>
          </w:p>
        </w:tc>
        <w:tc>
          <w:tcPr>
            <w:tcW w:w="996" w:type="dxa"/>
          </w:tcPr>
          <w:p w14:paraId="1EBB4C3E" w14:textId="2ABA24B0" w:rsidR="00A36183" w:rsidRPr="00A36183" w:rsidRDefault="00A36183" w:rsidP="00A36183">
            <w:pPr>
              <w:spacing w:line="276" w:lineRule="auto"/>
            </w:pPr>
          </w:p>
        </w:tc>
        <w:tc>
          <w:tcPr>
            <w:tcW w:w="996" w:type="dxa"/>
          </w:tcPr>
          <w:p w14:paraId="1268980E" w14:textId="2D3022F7" w:rsidR="00A36183" w:rsidRPr="00A36183" w:rsidRDefault="00A36183" w:rsidP="00A36183">
            <w:pPr>
              <w:spacing w:line="276" w:lineRule="auto"/>
            </w:pPr>
          </w:p>
        </w:tc>
        <w:tc>
          <w:tcPr>
            <w:tcW w:w="996" w:type="dxa"/>
          </w:tcPr>
          <w:p w14:paraId="519E0709" w14:textId="52980622" w:rsidR="00A36183" w:rsidRPr="00A36183" w:rsidRDefault="00A36183" w:rsidP="00A36183">
            <w:pPr>
              <w:spacing w:line="276" w:lineRule="auto"/>
            </w:pPr>
          </w:p>
        </w:tc>
        <w:tc>
          <w:tcPr>
            <w:tcW w:w="996" w:type="dxa"/>
          </w:tcPr>
          <w:p w14:paraId="3680B5B8" w14:textId="1A448B13" w:rsidR="00A36183" w:rsidRPr="00A36183" w:rsidRDefault="00A36183" w:rsidP="00A36183">
            <w:pPr>
              <w:spacing w:line="276" w:lineRule="auto"/>
            </w:pPr>
          </w:p>
        </w:tc>
        <w:tc>
          <w:tcPr>
            <w:tcW w:w="996" w:type="dxa"/>
          </w:tcPr>
          <w:p w14:paraId="02C81855" w14:textId="72614FEF" w:rsidR="00A36183" w:rsidRPr="00A36183" w:rsidRDefault="00A36183" w:rsidP="00A36183">
            <w:pPr>
              <w:spacing w:line="276" w:lineRule="auto"/>
            </w:pPr>
          </w:p>
        </w:tc>
        <w:tc>
          <w:tcPr>
            <w:tcW w:w="996" w:type="dxa"/>
          </w:tcPr>
          <w:p w14:paraId="515A291A" w14:textId="4703A86E" w:rsidR="00A36183" w:rsidRPr="00A36183" w:rsidRDefault="00A36183" w:rsidP="00A36183">
            <w:pPr>
              <w:spacing w:line="276" w:lineRule="auto"/>
            </w:pPr>
          </w:p>
        </w:tc>
        <w:tc>
          <w:tcPr>
            <w:tcW w:w="996" w:type="dxa"/>
          </w:tcPr>
          <w:p w14:paraId="0AE7BB71" w14:textId="3ACF8A91" w:rsidR="00A36183" w:rsidRPr="00A36183" w:rsidRDefault="00A36183" w:rsidP="00A36183">
            <w:pPr>
              <w:spacing w:line="276" w:lineRule="auto"/>
            </w:pPr>
          </w:p>
        </w:tc>
      </w:tr>
      <w:tr w:rsidR="00A36183" w:rsidRPr="00A36183" w14:paraId="73F9CB36" w14:textId="77777777" w:rsidTr="00A36183">
        <w:trPr>
          <w:divId w:val="1771580101"/>
          <w:trHeight w:val="390"/>
        </w:trPr>
        <w:tc>
          <w:tcPr>
            <w:tcW w:w="2080" w:type="dxa"/>
            <w:hideMark/>
          </w:tcPr>
          <w:p w14:paraId="07E5B7B5" w14:textId="77777777" w:rsidR="00A36183" w:rsidRPr="00A36183" w:rsidRDefault="00A36183" w:rsidP="00A36183">
            <w:pPr>
              <w:spacing w:line="276" w:lineRule="auto"/>
              <w:rPr>
                <w:b/>
                <w:bCs/>
                <w:szCs w:val="24"/>
              </w:rPr>
            </w:pPr>
            <w:r w:rsidRPr="00A36183">
              <w:rPr>
                <w:b/>
                <w:bCs/>
                <w:szCs w:val="24"/>
              </w:rPr>
              <w:t>Përfitimi i zbritur</w:t>
            </w:r>
            <w:r w:rsidRPr="00A36183">
              <w:rPr>
                <w:b/>
                <w:szCs w:val="24"/>
              </w:rPr>
              <w:t>= Përfitimi në total x faktori zbritës</w:t>
            </w:r>
          </w:p>
        </w:tc>
        <w:tc>
          <w:tcPr>
            <w:tcW w:w="1176" w:type="dxa"/>
          </w:tcPr>
          <w:p w14:paraId="12C54431" w14:textId="407A453E" w:rsidR="00A36183" w:rsidRPr="00A36183" w:rsidRDefault="00A36183" w:rsidP="00A36183">
            <w:pPr>
              <w:spacing w:line="276" w:lineRule="auto"/>
            </w:pPr>
          </w:p>
        </w:tc>
        <w:tc>
          <w:tcPr>
            <w:tcW w:w="996" w:type="dxa"/>
          </w:tcPr>
          <w:p w14:paraId="34D5D070" w14:textId="6BE80E52" w:rsidR="00A36183" w:rsidRPr="00A36183" w:rsidRDefault="00A36183" w:rsidP="00A36183">
            <w:pPr>
              <w:spacing w:line="276" w:lineRule="auto"/>
            </w:pPr>
          </w:p>
        </w:tc>
        <w:tc>
          <w:tcPr>
            <w:tcW w:w="996" w:type="dxa"/>
          </w:tcPr>
          <w:p w14:paraId="09AA1ADA" w14:textId="27C0CF43" w:rsidR="00A36183" w:rsidRPr="00A36183" w:rsidRDefault="00A36183" w:rsidP="00A36183">
            <w:pPr>
              <w:spacing w:line="276" w:lineRule="auto"/>
            </w:pPr>
          </w:p>
        </w:tc>
        <w:tc>
          <w:tcPr>
            <w:tcW w:w="996" w:type="dxa"/>
          </w:tcPr>
          <w:p w14:paraId="5DD4DF95" w14:textId="6DCF44C0" w:rsidR="00A36183" w:rsidRPr="00A36183" w:rsidRDefault="00A36183" w:rsidP="00A36183">
            <w:pPr>
              <w:spacing w:line="276" w:lineRule="auto"/>
            </w:pPr>
          </w:p>
        </w:tc>
        <w:tc>
          <w:tcPr>
            <w:tcW w:w="996" w:type="dxa"/>
          </w:tcPr>
          <w:p w14:paraId="4A922E6C" w14:textId="6272DF29" w:rsidR="00A36183" w:rsidRPr="00A36183" w:rsidRDefault="00A36183" w:rsidP="00A36183">
            <w:pPr>
              <w:spacing w:line="276" w:lineRule="auto"/>
            </w:pPr>
          </w:p>
        </w:tc>
        <w:tc>
          <w:tcPr>
            <w:tcW w:w="996" w:type="dxa"/>
          </w:tcPr>
          <w:p w14:paraId="650BB029" w14:textId="705AB230" w:rsidR="00A36183" w:rsidRPr="00A36183" w:rsidRDefault="00A36183" w:rsidP="00A36183">
            <w:pPr>
              <w:spacing w:line="276" w:lineRule="auto"/>
            </w:pPr>
          </w:p>
        </w:tc>
        <w:tc>
          <w:tcPr>
            <w:tcW w:w="996" w:type="dxa"/>
          </w:tcPr>
          <w:p w14:paraId="0C720750" w14:textId="19EE91C3" w:rsidR="00A36183" w:rsidRPr="00A36183" w:rsidRDefault="00A36183" w:rsidP="00A36183">
            <w:pPr>
              <w:spacing w:line="276" w:lineRule="auto"/>
            </w:pPr>
          </w:p>
        </w:tc>
        <w:tc>
          <w:tcPr>
            <w:tcW w:w="996" w:type="dxa"/>
          </w:tcPr>
          <w:p w14:paraId="0D8F498E" w14:textId="3395EE95" w:rsidR="00A36183" w:rsidRPr="00A36183" w:rsidRDefault="00A36183" w:rsidP="00A36183">
            <w:pPr>
              <w:spacing w:line="276" w:lineRule="auto"/>
            </w:pPr>
          </w:p>
        </w:tc>
        <w:tc>
          <w:tcPr>
            <w:tcW w:w="996" w:type="dxa"/>
          </w:tcPr>
          <w:p w14:paraId="4D05769F" w14:textId="3F22C2BF" w:rsidR="00A36183" w:rsidRPr="00A36183" w:rsidRDefault="00A36183" w:rsidP="00A36183">
            <w:pPr>
              <w:spacing w:line="276" w:lineRule="auto"/>
            </w:pPr>
          </w:p>
        </w:tc>
        <w:tc>
          <w:tcPr>
            <w:tcW w:w="996" w:type="dxa"/>
          </w:tcPr>
          <w:p w14:paraId="65A487C7" w14:textId="53A369E8" w:rsidR="00A36183" w:rsidRPr="00A36183" w:rsidRDefault="00A36183" w:rsidP="00A36183">
            <w:pPr>
              <w:spacing w:line="276" w:lineRule="auto"/>
            </w:pPr>
          </w:p>
        </w:tc>
      </w:tr>
      <w:tr w:rsidR="00A36183" w:rsidRPr="00A36183" w14:paraId="3A0FCA47" w14:textId="77777777" w:rsidTr="00A36183">
        <w:trPr>
          <w:divId w:val="1771580101"/>
          <w:trHeight w:val="375"/>
        </w:trPr>
        <w:tc>
          <w:tcPr>
            <w:tcW w:w="2080" w:type="dxa"/>
            <w:hideMark/>
          </w:tcPr>
          <w:p w14:paraId="50F5C25D" w14:textId="77777777" w:rsidR="00A36183" w:rsidRPr="00A36183" w:rsidRDefault="00A36183" w:rsidP="00A36183">
            <w:pPr>
              <w:spacing w:line="276" w:lineRule="auto"/>
              <w:rPr>
                <w:b/>
                <w:bCs/>
                <w:szCs w:val="24"/>
              </w:rPr>
            </w:pPr>
            <w:r w:rsidRPr="00A36183">
              <w:rPr>
                <w:b/>
                <w:bCs/>
                <w:szCs w:val="24"/>
              </w:rPr>
              <w:t>Vlera prezente aktuale e përfitimit në total</w:t>
            </w:r>
          </w:p>
        </w:tc>
        <w:tc>
          <w:tcPr>
            <w:tcW w:w="1176" w:type="dxa"/>
          </w:tcPr>
          <w:p w14:paraId="7F2E4B6A" w14:textId="1B1E8615" w:rsidR="00A36183" w:rsidRPr="00A36183" w:rsidRDefault="00A36183" w:rsidP="00A36183">
            <w:pPr>
              <w:spacing w:line="276" w:lineRule="auto"/>
              <w:rPr>
                <w:b/>
                <w:bCs/>
              </w:rPr>
            </w:pPr>
          </w:p>
        </w:tc>
        <w:tc>
          <w:tcPr>
            <w:tcW w:w="8964" w:type="dxa"/>
            <w:gridSpan w:val="9"/>
          </w:tcPr>
          <w:p w14:paraId="2E101559" w14:textId="2DBF3344" w:rsidR="00A36183" w:rsidRPr="00A36183" w:rsidRDefault="00A36183" w:rsidP="00A36183">
            <w:pPr>
              <w:spacing w:line="276" w:lineRule="auto"/>
            </w:pPr>
          </w:p>
        </w:tc>
      </w:tr>
      <w:tr w:rsidR="00A36183" w:rsidRPr="00A36183" w14:paraId="5E1961AC" w14:textId="77777777" w:rsidTr="00A36183">
        <w:trPr>
          <w:divId w:val="1771580101"/>
          <w:trHeight w:val="270"/>
        </w:trPr>
        <w:tc>
          <w:tcPr>
            <w:tcW w:w="2080" w:type="dxa"/>
            <w:hideMark/>
          </w:tcPr>
          <w:p w14:paraId="0ACFE28F" w14:textId="77777777" w:rsidR="00A36183" w:rsidRPr="00A36183" w:rsidRDefault="00A36183" w:rsidP="00A36183">
            <w:pPr>
              <w:spacing w:line="276" w:lineRule="auto"/>
              <w:rPr>
                <w:b/>
                <w:bCs/>
                <w:szCs w:val="24"/>
              </w:rPr>
            </w:pPr>
            <w:r w:rsidRPr="00A36183">
              <w:rPr>
                <w:b/>
                <w:bCs/>
                <w:szCs w:val="24"/>
              </w:rPr>
              <w:t>Vlera prezente aktuale e kostos në total</w:t>
            </w:r>
          </w:p>
        </w:tc>
        <w:tc>
          <w:tcPr>
            <w:tcW w:w="1176" w:type="dxa"/>
          </w:tcPr>
          <w:p w14:paraId="6433367A" w14:textId="17E828BE" w:rsidR="00A36183" w:rsidRPr="00A36183" w:rsidRDefault="00A36183" w:rsidP="00A36183">
            <w:pPr>
              <w:spacing w:line="276" w:lineRule="auto"/>
              <w:rPr>
                <w:b/>
                <w:bCs/>
              </w:rPr>
            </w:pPr>
          </w:p>
        </w:tc>
        <w:tc>
          <w:tcPr>
            <w:tcW w:w="8964" w:type="dxa"/>
            <w:gridSpan w:val="9"/>
          </w:tcPr>
          <w:p w14:paraId="1BBDDECF" w14:textId="7D0A86F4" w:rsidR="00A36183" w:rsidRPr="00A36183" w:rsidRDefault="00A36183" w:rsidP="00A36183">
            <w:pPr>
              <w:spacing w:line="276" w:lineRule="auto"/>
            </w:pPr>
          </w:p>
        </w:tc>
      </w:tr>
      <w:tr w:rsidR="00A36183" w:rsidRPr="00A36183" w14:paraId="1563DBB3" w14:textId="77777777" w:rsidTr="00A36183">
        <w:trPr>
          <w:divId w:val="1771580101"/>
          <w:trHeight w:val="555"/>
        </w:trPr>
        <w:tc>
          <w:tcPr>
            <w:tcW w:w="2080" w:type="dxa"/>
            <w:hideMark/>
          </w:tcPr>
          <w:p w14:paraId="0EC4DF5A" w14:textId="77777777" w:rsidR="00A36183" w:rsidRPr="00A36183" w:rsidRDefault="00A36183" w:rsidP="00A36183">
            <w:pPr>
              <w:spacing w:line="276" w:lineRule="auto"/>
              <w:rPr>
                <w:b/>
                <w:bCs/>
                <w:szCs w:val="24"/>
              </w:rPr>
            </w:pPr>
            <w:r w:rsidRPr="00A36183">
              <w:rPr>
                <w:b/>
                <w:bCs/>
                <w:szCs w:val="24"/>
              </w:rPr>
              <w:t>Vlera Prezente Neto Aktuale (VAN) =</w:t>
            </w:r>
            <w:r w:rsidRPr="00A36183">
              <w:rPr>
                <w:b/>
                <w:szCs w:val="24"/>
              </w:rPr>
              <w:t xml:space="preserve"> Vlera aktuale e përfitimit në total – Vlera aktuale e kostos në total</w:t>
            </w:r>
          </w:p>
        </w:tc>
        <w:tc>
          <w:tcPr>
            <w:tcW w:w="1176" w:type="dxa"/>
          </w:tcPr>
          <w:p w14:paraId="31B92755" w14:textId="199756BA" w:rsidR="00A36183" w:rsidRPr="00A36183" w:rsidRDefault="00A36183" w:rsidP="00A36183">
            <w:pPr>
              <w:spacing w:line="276" w:lineRule="auto"/>
              <w:rPr>
                <w:b/>
                <w:bCs/>
              </w:rPr>
            </w:pPr>
          </w:p>
        </w:tc>
        <w:tc>
          <w:tcPr>
            <w:tcW w:w="8964" w:type="dxa"/>
            <w:gridSpan w:val="9"/>
          </w:tcPr>
          <w:p w14:paraId="2726C517" w14:textId="406FBC4B" w:rsidR="00A36183" w:rsidRPr="00A36183" w:rsidRDefault="00A36183" w:rsidP="00A36183">
            <w:pPr>
              <w:spacing w:line="276" w:lineRule="auto"/>
            </w:pPr>
          </w:p>
        </w:tc>
      </w:tr>
    </w:tbl>
    <w:p w14:paraId="06A1E76E" w14:textId="070DFC7C" w:rsidR="00225F7F" w:rsidRDefault="00B85EAB" w:rsidP="009D13F4">
      <w:pPr>
        <w:spacing w:line="276" w:lineRule="auto"/>
        <w:rPr>
          <w:b/>
          <w:szCs w:val="24"/>
          <w:lang w:val="sq-AL"/>
        </w:rPr>
        <w:sectPr w:rsidR="00225F7F" w:rsidSect="00225F7F">
          <w:footnotePr>
            <w:numRestart w:val="eachSect"/>
          </w:footnotePr>
          <w:type w:val="continuous"/>
          <w:pgSz w:w="16840" w:h="11907" w:orient="landscape" w:code="9"/>
          <w:pgMar w:top="850" w:right="677" w:bottom="850" w:left="677" w:header="288" w:footer="288" w:gutter="0"/>
          <w:cols w:space="708"/>
          <w:docGrid w:linePitch="360"/>
        </w:sectPr>
      </w:pPr>
      <w:r>
        <w:rPr>
          <w:b/>
          <w:szCs w:val="24"/>
          <w:lang w:val="sq-AL"/>
        </w:rPr>
        <w:fldChar w:fldCharType="end"/>
      </w:r>
      <w:r w:rsidR="00A36183">
        <w:rPr>
          <w:b/>
          <w:szCs w:val="24"/>
          <w:lang w:val="sq-AL"/>
        </w:rPr>
        <w:br w:type="textWrapping" w:clear="all"/>
      </w:r>
    </w:p>
    <w:p w14:paraId="0547D548" w14:textId="62E858C2" w:rsidR="002125B7" w:rsidRPr="00325A1F" w:rsidRDefault="002125B7" w:rsidP="009D13F4">
      <w:pPr>
        <w:spacing w:line="276" w:lineRule="auto"/>
        <w:rPr>
          <w:rStyle w:val="Strong"/>
          <w:szCs w:val="24"/>
          <w:lang w:val="sq-AL"/>
        </w:rPr>
      </w:pPr>
      <w:r w:rsidRPr="00325A1F">
        <w:rPr>
          <w:b/>
          <w:szCs w:val="24"/>
          <w:lang w:val="sq-AL"/>
        </w:rPr>
        <w:lastRenderedPageBreak/>
        <w:t xml:space="preserve">Raporti i vlerësimit të ndikimit - Shtojca 2/b </w:t>
      </w:r>
    </w:p>
    <w:p w14:paraId="2FCDCCBA" w14:textId="77777777" w:rsidR="002125B7" w:rsidRPr="00325A1F" w:rsidRDefault="002125B7" w:rsidP="009D13F4">
      <w:pPr>
        <w:spacing w:line="276" w:lineRule="auto"/>
        <w:rPr>
          <w:rStyle w:val="Strong"/>
          <w:b w:val="0"/>
          <w:szCs w:val="24"/>
          <w:lang w:val="sq-AL"/>
        </w:rPr>
      </w:pPr>
    </w:p>
    <w:p w14:paraId="0533BD70" w14:textId="77777777" w:rsidR="002125B7" w:rsidRPr="00325A1F" w:rsidRDefault="002125B7" w:rsidP="009D13F4">
      <w:pPr>
        <w:spacing w:line="276" w:lineRule="auto"/>
        <w:rPr>
          <w:rStyle w:val="Strong"/>
          <w:b w:val="0"/>
          <w:bCs w:val="0"/>
          <w:i/>
          <w:szCs w:val="24"/>
          <w:lang w:val="sq-AL"/>
        </w:rPr>
      </w:pPr>
      <w:r w:rsidRPr="00325A1F">
        <w:rPr>
          <w:rStyle w:val="Strong"/>
          <w:i/>
          <w:szCs w:val="24"/>
          <w:lang w:val="sq-AL"/>
        </w:rPr>
        <w:t xml:space="preserve">Tabelë: Vlera aktuale neto në total e çdo opsioni   </w:t>
      </w:r>
    </w:p>
    <w:p w14:paraId="2CF71834" w14:textId="77777777" w:rsidR="002125B7" w:rsidRPr="00325A1F" w:rsidRDefault="002125B7" w:rsidP="009D13F4">
      <w:pPr>
        <w:autoSpaceDE w:val="0"/>
        <w:autoSpaceDN w:val="0"/>
        <w:adjustRightInd w:val="0"/>
        <w:spacing w:line="276" w:lineRule="auto"/>
        <w:jc w:val="both"/>
        <w:rPr>
          <w:color w:val="000000"/>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2125B7" w:rsidRPr="00325A1F" w14:paraId="759C0126" w14:textId="77777777" w:rsidTr="001E3B6F">
        <w:tc>
          <w:tcPr>
            <w:tcW w:w="1698" w:type="dxa"/>
            <w:vMerge w:val="restart"/>
          </w:tcPr>
          <w:p w14:paraId="1E68444E" w14:textId="77777777" w:rsidR="002125B7" w:rsidRPr="00325A1F" w:rsidRDefault="002125B7" w:rsidP="009D13F4">
            <w:pPr>
              <w:autoSpaceDE w:val="0"/>
              <w:autoSpaceDN w:val="0"/>
              <w:adjustRightInd w:val="0"/>
              <w:spacing w:line="276" w:lineRule="auto"/>
              <w:jc w:val="center"/>
              <w:rPr>
                <w:color w:val="000000"/>
                <w:szCs w:val="24"/>
                <w:lang w:val="sq-AL"/>
              </w:rPr>
            </w:pPr>
            <w:r w:rsidRPr="00325A1F">
              <w:rPr>
                <w:b/>
                <w:szCs w:val="24"/>
                <w:lang w:val="sq-AL"/>
              </w:rPr>
              <w:t>Opsioni</w:t>
            </w:r>
          </w:p>
        </w:tc>
        <w:tc>
          <w:tcPr>
            <w:tcW w:w="4668" w:type="dxa"/>
            <w:gridSpan w:val="2"/>
          </w:tcPr>
          <w:p w14:paraId="21112DC5" w14:textId="77777777" w:rsidR="002125B7" w:rsidRPr="00325A1F" w:rsidRDefault="002125B7" w:rsidP="009D13F4">
            <w:pPr>
              <w:autoSpaceDE w:val="0"/>
              <w:autoSpaceDN w:val="0"/>
              <w:adjustRightInd w:val="0"/>
              <w:spacing w:line="276" w:lineRule="auto"/>
              <w:jc w:val="center"/>
              <w:rPr>
                <w:color w:val="000000"/>
                <w:szCs w:val="24"/>
                <w:lang w:val="sq-AL"/>
              </w:rPr>
            </w:pPr>
            <w:r w:rsidRPr="00325A1F">
              <w:rPr>
                <w:b/>
                <w:szCs w:val="24"/>
                <w:lang w:val="sq-AL"/>
              </w:rPr>
              <w:t>Vlera aktuale në milionë lekë</w:t>
            </w:r>
          </w:p>
        </w:tc>
        <w:tc>
          <w:tcPr>
            <w:tcW w:w="3444" w:type="dxa"/>
            <w:vMerge w:val="restart"/>
          </w:tcPr>
          <w:p w14:paraId="2B159258" w14:textId="77777777" w:rsidR="002125B7" w:rsidRPr="00325A1F" w:rsidRDefault="002125B7" w:rsidP="009D13F4">
            <w:pPr>
              <w:autoSpaceDE w:val="0"/>
              <w:autoSpaceDN w:val="0"/>
              <w:adjustRightInd w:val="0"/>
              <w:spacing w:line="276" w:lineRule="auto"/>
              <w:jc w:val="center"/>
              <w:rPr>
                <w:color w:val="000000"/>
                <w:szCs w:val="24"/>
                <w:lang w:val="sq-AL"/>
              </w:rPr>
            </w:pPr>
            <w:r w:rsidRPr="00325A1F">
              <w:rPr>
                <w:b/>
                <w:szCs w:val="24"/>
                <w:lang w:val="sq-AL"/>
              </w:rPr>
              <w:t>Vlera aktuale neto në milionë lekë</w:t>
            </w:r>
          </w:p>
        </w:tc>
      </w:tr>
      <w:tr w:rsidR="002125B7" w:rsidRPr="00325A1F" w14:paraId="6936D5E6" w14:textId="77777777" w:rsidTr="001E3B6F">
        <w:tc>
          <w:tcPr>
            <w:tcW w:w="1698" w:type="dxa"/>
            <w:vMerge/>
          </w:tcPr>
          <w:p w14:paraId="7CE4FE12" w14:textId="77777777" w:rsidR="002125B7" w:rsidRPr="00325A1F" w:rsidRDefault="002125B7" w:rsidP="009D13F4">
            <w:pPr>
              <w:autoSpaceDE w:val="0"/>
              <w:autoSpaceDN w:val="0"/>
              <w:adjustRightInd w:val="0"/>
              <w:spacing w:line="276" w:lineRule="auto"/>
              <w:jc w:val="both"/>
              <w:rPr>
                <w:szCs w:val="24"/>
                <w:lang w:val="sq-AL"/>
              </w:rPr>
            </w:pPr>
          </w:p>
        </w:tc>
        <w:tc>
          <w:tcPr>
            <w:tcW w:w="2258" w:type="dxa"/>
          </w:tcPr>
          <w:p w14:paraId="77F3EEB3" w14:textId="77777777" w:rsidR="002125B7" w:rsidRPr="00325A1F" w:rsidRDefault="002125B7" w:rsidP="009D13F4">
            <w:pPr>
              <w:autoSpaceDE w:val="0"/>
              <w:autoSpaceDN w:val="0"/>
              <w:adjustRightInd w:val="0"/>
              <w:spacing w:line="276" w:lineRule="auto"/>
              <w:jc w:val="center"/>
              <w:rPr>
                <w:b/>
                <w:szCs w:val="24"/>
                <w:lang w:val="sq-AL"/>
              </w:rPr>
            </w:pPr>
            <w:r w:rsidRPr="00325A1F">
              <w:rPr>
                <w:b/>
                <w:szCs w:val="24"/>
                <w:lang w:val="sq-AL"/>
              </w:rPr>
              <w:t>Kosto</w:t>
            </w:r>
          </w:p>
        </w:tc>
        <w:tc>
          <w:tcPr>
            <w:tcW w:w="2410" w:type="dxa"/>
          </w:tcPr>
          <w:p w14:paraId="64193419" w14:textId="77777777" w:rsidR="002125B7" w:rsidRPr="00325A1F" w:rsidRDefault="002125B7" w:rsidP="009D13F4">
            <w:pPr>
              <w:autoSpaceDE w:val="0"/>
              <w:autoSpaceDN w:val="0"/>
              <w:adjustRightInd w:val="0"/>
              <w:spacing w:line="276" w:lineRule="auto"/>
              <w:jc w:val="center"/>
              <w:rPr>
                <w:b/>
                <w:szCs w:val="24"/>
                <w:lang w:val="sq-AL"/>
              </w:rPr>
            </w:pPr>
            <w:r w:rsidRPr="00325A1F">
              <w:rPr>
                <w:b/>
                <w:szCs w:val="24"/>
                <w:lang w:val="sq-AL"/>
              </w:rPr>
              <w:t>Përfitimi</w:t>
            </w:r>
          </w:p>
        </w:tc>
        <w:tc>
          <w:tcPr>
            <w:tcW w:w="3444" w:type="dxa"/>
            <w:vMerge/>
          </w:tcPr>
          <w:p w14:paraId="35F092A7" w14:textId="77777777" w:rsidR="002125B7" w:rsidRPr="00325A1F" w:rsidRDefault="002125B7" w:rsidP="009D13F4">
            <w:pPr>
              <w:autoSpaceDE w:val="0"/>
              <w:autoSpaceDN w:val="0"/>
              <w:adjustRightInd w:val="0"/>
              <w:spacing w:line="276" w:lineRule="auto"/>
              <w:jc w:val="center"/>
              <w:rPr>
                <w:color w:val="000000"/>
                <w:szCs w:val="24"/>
                <w:lang w:val="sq-AL"/>
              </w:rPr>
            </w:pPr>
          </w:p>
        </w:tc>
      </w:tr>
      <w:tr w:rsidR="002125B7" w:rsidRPr="00325A1F" w14:paraId="16797BDF" w14:textId="77777777" w:rsidTr="001E3B6F">
        <w:tc>
          <w:tcPr>
            <w:tcW w:w="1698" w:type="dxa"/>
          </w:tcPr>
          <w:p w14:paraId="77B8D276" w14:textId="77777777" w:rsidR="002125B7" w:rsidRPr="00325A1F" w:rsidRDefault="002125B7" w:rsidP="009D13F4">
            <w:pPr>
              <w:autoSpaceDE w:val="0"/>
              <w:autoSpaceDN w:val="0"/>
              <w:adjustRightInd w:val="0"/>
              <w:spacing w:line="276" w:lineRule="auto"/>
              <w:jc w:val="both"/>
              <w:rPr>
                <w:color w:val="000000"/>
                <w:szCs w:val="24"/>
                <w:lang w:val="sq-AL"/>
              </w:rPr>
            </w:pPr>
            <w:r w:rsidRPr="00325A1F">
              <w:rPr>
                <w:szCs w:val="24"/>
                <w:lang w:val="sq-AL"/>
              </w:rPr>
              <w:t>Opsioni 1</w:t>
            </w:r>
          </w:p>
        </w:tc>
        <w:tc>
          <w:tcPr>
            <w:tcW w:w="2258" w:type="dxa"/>
          </w:tcPr>
          <w:p w14:paraId="086EE704" w14:textId="44AF1CD2" w:rsidR="002125B7" w:rsidRPr="00325A1F" w:rsidRDefault="003A12EA" w:rsidP="009D13F4">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2410" w:type="dxa"/>
          </w:tcPr>
          <w:p w14:paraId="21A13888" w14:textId="6E0B6F6C" w:rsidR="002125B7" w:rsidRPr="00325A1F" w:rsidRDefault="003A12EA" w:rsidP="009D13F4">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3444" w:type="dxa"/>
          </w:tcPr>
          <w:p w14:paraId="41027619" w14:textId="26A0988A" w:rsidR="002125B7" w:rsidRPr="00325A1F" w:rsidRDefault="003A12EA" w:rsidP="009D13F4">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r>
      <w:tr w:rsidR="002125B7" w:rsidRPr="00325A1F" w14:paraId="49EF5D0E" w14:textId="77777777" w:rsidTr="001E3B6F">
        <w:tc>
          <w:tcPr>
            <w:tcW w:w="1698" w:type="dxa"/>
          </w:tcPr>
          <w:p w14:paraId="4D91C4DF" w14:textId="77777777" w:rsidR="002125B7" w:rsidRPr="00325A1F" w:rsidRDefault="002125B7" w:rsidP="009D13F4">
            <w:pPr>
              <w:autoSpaceDE w:val="0"/>
              <w:autoSpaceDN w:val="0"/>
              <w:adjustRightInd w:val="0"/>
              <w:spacing w:line="276" w:lineRule="auto"/>
              <w:jc w:val="both"/>
              <w:rPr>
                <w:color w:val="000000"/>
                <w:szCs w:val="24"/>
                <w:lang w:val="sq-AL"/>
              </w:rPr>
            </w:pPr>
            <w:r w:rsidRPr="00325A1F">
              <w:rPr>
                <w:szCs w:val="24"/>
                <w:lang w:val="sq-AL"/>
              </w:rPr>
              <w:t>Opsioni 2</w:t>
            </w:r>
          </w:p>
        </w:tc>
        <w:tc>
          <w:tcPr>
            <w:tcW w:w="2258" w:type="dxa"/>
          </w:tcPr>
          <w:p w14:paraId="6C3A74F4" w14:textId="406BD911" w:rsidR="002125B7" w:rsidRPr="00325A1F" w:rsidRDefault="003A12EA" w:rsidP="009D13F4">
            <w:pPr>
              <w:autoSpaceDE w:val="0"/>
              <w:autoSpaceDN w:val="0"/>
              <w:adjustRightInd w:val="0"/>
              <w:spacing w:line="276" w:lineRule="auto"/>
              <w:jc w:val="right"/>
              <w:rPr>
                <w:color w:val="000000"/>
                <w:szCs w:val="24"/>
                <w:lang w:val="sq-AL"/>
              </w:rPr>
            </w:pPr>
            <w:r>
              <w:rPr>
                <w:color w:val="808080" w:themeColor="background1" w:themeShade="80"/>
                <w:szCs w:val="24"/>
              </w:rPr>
              <w:fldChar w:fldCharType="begin">
                <w:ffData>
                  <w:name w:val=""/>
                  <w:enabled/>
                  <w:calcOnExit/>
                  <w:textInput>
                    <w:type w:val="number"/>
                    <w:default w:val="0"/>
                    <w:maxLength w:val="20"/>
                  </w:textInput>
                </w:ffData>
              </w:fldChar>
            </w:r>
            <w:r>
              <w:rPr>
                <w:color w:val="808080" w:themeColor="background1" w:themeShade="80"/>
                <w:szCs w:val="24"/>
              </w:rPr>
              <w:instrText xml:space="preserve"> FORMTEXT </w:instrText>
            </w:r>
            <w:r>
              <w:rPr>
                <w:color w:val="808080" w:themeColor="background1" w:themeShade="80"/>
                <w:szCs w:val="24"/>
              </w:rPr>
            </w:r>
            <w:r>
              <w:rPr>
                <w:color w:val="808080" w:themeColor="background1" w:themeShade="80"/>
                <w:szCs w:val="24"/>
              </w:rPr>
              <w:fldChar w:fldCharType="separate"/>
            </w:r>
            <w:r>
              <w:rPr>
                <w:noProof/>
                <w:color w:val="808080" w:themeColor="background1" w:themeShade="80"/>
                <w:szCs w:val="24"/>
              </w:rPr>
              <w:t>0</w:t>
            </w:r>
            <w:r>
              <w:rPr>
                <w:color w:val="808080" w:themeColor="background1" w:themeShade="80"/>
                <w:szCs w:val="24"/>
              </w:rPr>
              <w:fldChar w:fldCharType="end"/>
            </w:r>
          </w:p>
        </w:tc>
        <w:tc>
          <w:tcPr>
            <w:tcW w:w="2410" w:type="dxa"/>
          </w:tcPr>
          <w:p w14:paraId="19A59B98" w14:textId="5E25B398" w:rsidR="002125B7" w:rsidRPr="00325A1F" w:rsidRDefault="003A12EA" w:rsidP="009D13F4">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3444" w:type="dxa"/>
          </w:tcPr>
          <w:p w14:paraId="014EDFE1" w14:textId="22388D5D" w:rsidR="002125B7" w:rsidRPr="00325A1F" w:rsidRDefault="003A12EA" w:rsidP="009D13F4">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val="0"/>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r>
    </w:tbl>
    <w:p w14:paraId="121F672F" w14:textId="75C7C7B1" w:rsidR="00B6156C" w:rsidRPr="00325A1F" w:rsidRDefault="00B6156C" w:rsidP="009D13F4">
      <w:pPr>
        <w:spacing w:line="276" w:lineRule="auto"/>
        <w:rPr>
          <w:b/>
          <w:szCs w:val="24"/>
          <w:lang w:val="sq-AL"/>
        </w:rPr>
      </w:pPr>
    </w:p>
    <w:p w14:paraId="64319FE7" w14:textId="77777777" w:rsidR="002125B7" w:rsidRPr="00325A1F" w:rsidRDefault="002125B7" w:rsidP="009D13F4">
      <w:pPr>
        <w:spacing w:line="276" w:lineRule="auto"/>
        <w:rPr>
          <w:b/>
          <w:szCs w:val="24"/>
          <w:lang w:val="sq-AL"/>
        </w:rPr>
      </w:pPr>
    </w:p>
    <w:p w14:paraId="5ED05594" w14:textId="77777777" w:rsidR="002125B7" w:rsidRPr="00325A1F" w:rsidRDefault="002125B7" w:rsidP="009D13F4">
      <w:pPr>
        <w:spacing w:line="276" w:lineRule="auto"/>
        <w:jc w:val="center"/>
        <w:rPr>
          <w:b/>
          <w:szCs w:val="24"/>
          <w:lang w:val="sq-AL"/>
        </w:rPr>
      </w:pPr>
      <w:r w:rsidRPr="00325A1F">
        <w:rPr>
          <w:b/>
          <w:szCs w:val="24"/>
          <w:lang w:val="sq-AL"/>
        </w:rPr>
        <w:t>MINISTËR</w:t>
      </w:r>
    </w:p>
    <w:p w14:paraId="797007D9" w14:textId="77777777" w:rsidR="002125B7" w:rsidRPr="00325A1F" w:rsidRDefault="002125B7" w:rsidP="009D13F4">
      <w:pPr>
        <w:spacing w:line="276" w:lineRule="auto"/>
        <w:jc w:val="center"/>
        <w:rPr>
          <w:b/>
          <w:szCs w:val="24"/>
          <w:lang w:val="sq-AL"/>
        </w:rPr>
      </w:pPr>
    </w:p>
    <w:p w14:paraId="7B3BD6A0" w14:textId="33D7F6BC" w:rsidR="005B47AA" w:rsidRPr="001469CA" w:rsidRDefault="00AF680B" w:rsidP="009D13F4">
      <w:pPr>
        <w:spacing w:line="276" w:lineRule="auto"/>
        <w:jc w:val="center"/>
        <w:rPr>
          <w:b/>
          <w:color w:val="000000" w:themeColor="text1"/>
          <w:szCs w:val="24"/>
          <w:lang w:val="sq-AL"/>
        </w:rPr>
      </w:pPr>
      <w:r>
        <w:rPr>
          <w:b/>
          <w:color w:val="000000" w:themeColor="text1"/>
          <w:szCs w:val="24"/>
        </w:rPr>
        <w:t xml:space="preserve"> </w:t>
      </w:r>
      <w:r w:rsidR="00C0675F" w:rsidRPr="001469CA">
        <w:rPr>
          <w:b/>
          <w:color w:val="000000" w:themeColor="text1"/>
          <w:szCs w:val="24"/>
        </w:rPr>
        <w:t>Etilda Gjonaj (Saliu)</w:t>
      </w:r>
    </w:p>
    <w:p w14:paraId="69F4B01F" w14:textId="77777777" w:rsidR="002125B7" w:rsidRPr="00325A1F" w:rsidRDefault="002125B7" w:rsidP="009D13F4">
      <w:pPr>
        <w:spacing w:line="276" w:lineRule="auto"/>
        <w:rPr>
          <w:rFonts w:eastAsia="SimSun"/>
          <w:szCs w:val="24"/>
          <w:lang w:eastAsia="zh-CN"/>
        </w:rPr>
      </w:pPr>
    </w:p>
    <w:p w14:paraId="103E0151" w14:textId="41FFAFE3" w:rsidR="002125B7" w:rsidRPr="00325A1F" w:rsidRDefault="002125B7" w:rsidP="009D13F4">
      <w:pPr>
        <w:pStyle w:val="IASpacer"/>
        <w:spacing w:line="276" w:lineRule="auto"/>
        <w:rPr>
          <w:sz w:val="24"/>
          <w:szCs w:val="24"/>
        </w:rPr>
      </w:pPr>
    </w:p>
    <w:p w14:paraId="348B1F51" w14:textId="7488D7EE" w:rsidR="001F5DD9" w:rsidRPr="00325A1F" w:rsidRDefault="001F5DD9" w:rsidP="009D13F4">
      <w:pPr>
        <w:spacing w:line="276" w:lineRule="auto"/>
        <w:rPr>
          <w:szCs w:val="24"/>
        </w:rPr>
      </w:pPr>
    </w:p>
    <w:sectPr w:rsidR="001F5DD9" w:rsidRPr="00325A1F" w:rsidSect="00225F7F">
      <w:footnotePr>
        <w:numRestart w:val="eachSect"/>
      </w:footnotePr>
      <w:type w:val="continuous"/>
      <w:pgSz w:w="11907" w:h="16840" w:code="9"/>
      <w:pgMar w:top="677" w:right="850" w:bottom="677" w:left="85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A3E32" w14:textId="77777777" w:rsidR="005D117E" w:rsidRDefault="005D117E">
      <w:r>
        <w:separator/>
      </w:r>
    </w:p>
  </w:endnote>
  <w:endnote w:type="continuationSeparator" w:id="0">
    <w:p w14:paraId="3DEF7CC2" w14:textId="77777777" w:rsidR="005D117E" w:rsidRDefault="005D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EA0DF" w14:textId="3406360D" w:rsidR="007E0447" w:rsidRPr="00EB43FD" w:rsidRDefault="007E0447" w:rsidP="000407D8">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sidR="00347A9B">
      <w:rPr>
        <w:rStyle w:val="PageNumber"/>
        <w:b w:val="0"/>
        <w:noProof/>
        <w:szCs w:val="18"/>
      </w:rPr>
      <w:t>1</w:t>
    </w:r>
    <w:r w:rsidRPr="00EB43FD">
      <w:rPr>
        <w:rStyle w:val="PageNumber"/>
        <w:b w:val="0"/>
        <w:szCs w:val="18"/>
      </w:rPr>
      <w:fldChar w:fldCharType="end"/>
    </w:r>
  </w:p>
  <w:p w14:paraId="7FCE54BD" w14:textId="77777777" w:rsidR="007E0447" w:rsidRDefault="007E0447"/>
  <w:p w14:paraId="2995CCAD" w14:textId="77777777" w:rsidR="007E0447" w:rsidRDefault="007E044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F14BC" w14:textId="77777777" w:rsidR="005D117E" w:rsidRDefault="005D117E">
      <w:r>
        <w:separator/>
      </w:r>
    </w:p>
  </w:footnote>
  <w:footnote w:type="continuationSeparator" w:id="0">
    <w:p w14:paraId="58E80D57" w14:textId="77777777" w:rsidR="005D117E" w:rsidRDefault="005D11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E7460" w14:textId="77777777" w:rsidR="007E0447" w:rsidRDefault="007E0447"/>
  <w:p w14:paraId="13C35FD1" w14:textId="77777777" w:rsidR="007E0447" w:rsidRDefault="007E044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C02EAC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438C8F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742A83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3A4D59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CBC2C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7E6D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9C09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E07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587AE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64431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131D5"/>
    <w:multiLevelType w:val="multilevel"/>
    <w:tmpl w:val="7E8654E2"/>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4142497"/>
    <w:multiLevelType w:val="hybridMultilevel"/>
    <w:tmpl w:val="C71CFBDC"/>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D46A88"/>
    <w:multiLevelType w:val="hybridMultilevel"/>
    <w:tmpl w:val="26FC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2466D0"/>
    <w:multiLevelType w:val="hybridMultilevel"/>
    <w:tmpl w:val="24D67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2943E7"/>
    <w:multiLevelType w:val="multilevel"/>
    <w:tmpl w:val="3604C19E"/>
    <w:lvl w:ilvl="0">
      <w:start w:val="1"/>
      <w:numFmt w:val="bullet"/>
      <w:lvlText w:val=""/>
      <w:lvlJc w:val="left"/>
      <w:pPr>
        <w:tabs>
          <w:tab w:val="num" w:pos="284"/>
        </w:tabs>
        <w:ind w:left="284" w:hanging="284"/>
      </w:pPr>
      <w:rPr>
        <w:rFonts w:ascii="Wingdings" w:hAnsi="Wingdings" w:hint="default"/>
      </w:rPr>
    </w:lvl>
    <w:lvl w:ilvl="1">
      <w:start w:val="1"/>
      <w:numFmt w:val="bullet"/>
      <w:lvlText w:val=""/>
      <w:lvlJc w:val="left"/>
      <w:pPr>
        <w:tabs>
          <w:tab w:val="num" w:pos="567"/>
        </w:tabs>
        <w:ind w:left="567" w:hanging="283"/>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7104D"/>
    <w:multiLevelType w:val="multilevel"/>
    <w:tmpl w:val="02B2DD8E"/>
    <w:lvl w:ilvl="0">
      <w:start w:val="1"/>
      <w:numFmt w:val="decimal"/>
      <w:suff w:val="nothing"/>
      <w:lvlText w:val="%1"/>
      <w:lvlJc w:val="left"/>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0" w15:restartNumberingAfterBreak="0">
    <w:nsid w:val="3A1B4C9B"/>
    <w:multiLevelType w:val="multilevel"/>
    <w:tmpl w:val="334415AA"/>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7179DF"/>
    <w:multiLevelType w:val="hybridMultilevel"/>
    <w:tmpl w:val="62466F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5F32C3"/>
    <w:multiLevelType w:val="multilevel"/>
    <w:tmpl w:val="27A65722"/>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48277B"/>
    <w:multiLevelType w:val="hybridMultilevel"/>
    <w:tmpl w:val="BA061B94"/>
    <w:lvl w:ilvl="0" w:tplc="40B851F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7"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BC741B8"/>
    <w:multiLevelType w:val="hybridMultilevel"/>
    <w:tmpl w:val="9DE8354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D03E8E"/>
    <w:multiLevelType w:val="hybridMultilevel"/>
    <w:tmpl w:val="432E8FEC"/>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26"/>
  </w:num>
  <w:num w:numId="13">
    <w:abstractNumId w:val="10"/>
  </w:num>
  <w:num w:numId="14">
    <w:abstractNumId w:val="19"/>
  </w:num>
  <w:num w:numId="15">
    <w:abstractNumId w:val="17"/>
  </w:num>
  <w:num w:numId="16">
    <w:abstractNumId w:val="15"/>
  </w:num>
  <w:num w:numId="17">
    <w:abstractNumId w:val="17"/>
  </w:num>
  <w:num w:numId="18">
    <w:abstractNumId w:val="30"/>
  </w:num>
  <w:num w:numId="19">
    <w:abstractNumId w:val="30"/>
  </w:num>
  <w:num w:numId="20">
    <w:abstractNumId w:val="30"/>
  </w:num>
  <w:num w:numId="21">
    <w:abstractNumId w:val="17"/>
  </w:num>
  <w:num w:numId="22">
    <w:abstractNumId w:val="20"/>
  </w:num>
  <w:num w:numId="23">
    <w:abstractNumId w:val="23"/>
  </w:num>
  <w:num w:numId="24">
    <w:abstractNumId w:val="21"/>
  </w:num>
  <w:num w:numId="25">
    <w:abstractNumId w:val="27"/>
  </w:num>
  <w:num w:numId="26">
    <w:abstractNumId w:val="12"/>
  </w:num>
  <w:num w:numId="27">
    <w:abstractNumId w:val="16"/>
  </w:num>
  <w:num w:numId="28">
    <w:abstractNumId w:val="18"/>
  </w:num>
  <w:num w:numId="29">
    <w:abstractNumId w:val="24"/>
  </w:num>
  <w:num w:numId="30">
    <w:abstractNumId w:val="14"/>
  </w:num>
  <w:num w:numId="31">
    <w:abstractNumId w:val="29"/>
  </w:num>
  <w:num w:numId="32">
    <w:abstractNumId w:val="13"/>
  </w:num>
  <w:num w:numId="33">
    <w:abstractNumId w:val="28"/>
  </w:num>
  <w:num w:numId="34">
    <w:abstractNumId w:val="11"/>
  </w:num>
  <w:num w:numId="35">
    <w:abstractNumId w:val="22"/>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doNotShadeFormData/>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wDoc" w:val="Created"/>
    <w:docVar w:name="VerNumber" w:val="3.9.0"/>
  </w:docVars>
  <w:rsids>
    <w:rsidRoot w:val="00044FE7"/>
    <w:rsid w:val="00000766"/>
    <w:rsid w:val="000019B2"/>
    <w:rsid w:val="00001E72"/>
    <w:rsid w:val="00003A70"/>
    <w:rsid w:val="000045C0"/>
    <w:rsid w:val="0000505F"/>
    <w:rsid w:val="000071A5"/>
    <w:rsid w:val="000079C0"/>
    <w:rsid w:val="00010950"/>
    <w:rsid w:val="00010EE1"/>
    <w:rsid w:val="00012458"/>
    <w:rsid w:val="000142F1"/>
    <w:rsid w:val="0001460F"/>
    <w:rsid w:val="000166B7"/>
    <w:rsid w:val="00021306"/>
    <w:rsid w:val="000222F1"/>
    <w:rsid w:val="00022BE0"/>
    <w:rsid w:val="00022F52"/>
    <w:rsid w:val="00023080"/>
    <w:rsid w:val="0002370C"/>
    <w:rsid w:val="000239A7"/>
    <w:rsid w:val="00023E62"/>
    <w:rsid w:val="000251D0"/>
    <w:rsid w:val="00025CC4"/>
    <w:rsid w:val="00026555"/>
    <w:rsid w:val="00026AC0"/>
    <w:rsid w:val="00027038"/>
    <w:rsid w:val="0003786D"/>
    <w:rsid w:val="0004016B"/>
    <w:rsid w:val="000407D8"/>
    <w:rsid w:val="00044FE7"/>
    <w:rsid w:val="00045828"/>
    <w:rsid w:val="00045BAD"/>
    <w:rsid w:val="00051403"/>
    <w:rsid w:val="00052F44"/>
    <w:rsid w:val="0005543F"/>
    <w:rsid w:val="00056EE6"/>
    <w:rsid w:val="0006047F"/>
    <w:rsid w:val="0006053F"/>
    <w:rsid w:val="00061D9C"/>
    <w:rsid w:val="00063FFC"/>
    <w:rsid w:val="00066F83"/>
    <w:rsid w:val="000671A2"/>
    <w:rsid w:val="000705A0"/>
    <w:rsid w:val="00070EEB"/>
    <w:rsid w:val="00071110"/>
    <w:rsid w:val="00071299"/>
    <w:rsid w:val="00071557"/>
    <w:rsid w:val="00072272"/>
    <w:rsid w:val="0007524C"/>
    <w:rsid w:val="0007532E"/>
    <w:rsid w:val="0007637D"/>
    <w:rsid w:val="000767AC"/>
    <w:rsid w:val="0007695E"/>
    <w:rsid w:val="00076A78"/>
    <w:rsid w:val="00076C08"/>
    <w:rsid w:val="00082659"/>
    <w:rsid w:val="00082B2E"/>
    <w:rsid w:val="00082BAC"/>
    <w:rsid w:val="00083F9D"/>
    <w:rsid w:val="00085A72"/>
    <w:rsid w:val="000860CC"/>
    <w:rsid w:val="00086128"/>
    <w:rsid w:val="0008731F"/>
    <w:rsid w:val="00093598"/>
    <w:rsid w:val="0009381F"/>
    <w:rsid w:val="00094680"/>
    <w:rsid w:val="000954C0"/>
    <w:rsid w:val="000956FD"/>
    <w:rsid w:val="000A36EE"/>
    <w:rsid w:val="000A5C5D"/>
    <w:rsid w:val="000A6E4B"/>
    <w:rsid w:val="000A79FC"/>
    <w:rsid w:val="000B07A1"/>
    <w:rsid w:val="000B1176"/>
    <w:rsid w:val="000B1A2E"/>
    <w:rsid w:val="000B3E49"/>
    <w:rsid w:val="000C031E"/>
    <w:rsid w:val="000C165A"/>
    <w:rsid w:val="000C1D45"/>
    <w:rsid w:val="000C2589"/>
    <w:rsid w:val="000C30D8"/>
    <w:rsid w:val="000C3CF6"/>
    <w:rsid w:val="000C4589"/>
    <w:rsid w:val="000C57D5"/>
    <w:rsid w:val="000C6A87"/>
    <w:rsid w:val="000D1CB0"/>
    <w:rsid w:val="000D31B0"/>
    <w:rsid w:val="000D55B5"/>
    <w:rsid w:val="000D58BD"/>
    <w:rsid w:val="000D5974"/>
    <w:rsid w:val="000D5ED5"/>
    <w:rsid w:val="000D7F7C"/>
    <w:rsid w:val="000E02BE"/>
    <w:rsid w:val="000E2D00"/>
    <w:rsid w:val="000E3308"/>
    <w:rsid w:val="000E3FD7"/>
    <w:rsid w:val="000E452D"/>
    <w:rsid w:val="000F004E"/>
    <w:rsid w:val="000F0840"/>
    <w:rsid w:val="000F0E3F"/>
    <w:rsid w:val="000F37BB"/>
    <w:rsid w:val="000F4481"/>
    <w:rsid w:val="000F5100"/>
    <w:rsid w:val="000F57BB"/>
    <w:rsid w:val="00101961"/>
    <w:rsid w:val="00102870"/>
    <w:rsid w:val="00103996"/>
    <w:rsid w:val="00106D6D"/>
    <w:rsid w:val="00110396"/>
    <w:rsid w:val="001110DB"/>
    <w:rsid w:val="00115D70"/>
    <w:rsid w:val="00120113"/>
    <w:rsid w:val="001235DD"/>
    <w:rsid w:val="0012369A"/>
    <w:rsid w:val="001243CD"/>
    <w:rsid w:val="0012460B"/>
    <w:rsid w:val="00127373"/>
    <w:rsid w:val="0013023A"/>
    <w:rsid w:val="00131CE4"/>
    <w:rsid w:val="00133A17"/>
    <w:rsid w:val="00133C58"/>
    <w:rsid w:val="00134EA8"/>
    <w:rsid w:val="001365F4"/>
    <w:rsid w:val="0014140D"/>
    <w:rsid w:val="0014166A"/>
    <w:rsid w:val="00141B6F"/>
    <w:rsid w:val="0014336D"/>
    <w:rsid w:val="001469CA"/>
    <w:rsid w:val="001477D1"/>
    <w:rsid w:val="00150DAE"/>
    <w:rsid w:val="00151834"/>
    <w:rsid w:val="0015254E"/>
    <w:rsid w:val="00152C60"/>
    <w:rsid w:val="001535F3"/>
    <w:rsid w:val="00156E0C"/>
    <w:rsid w:val="00160691"/>
    <w:rsid w:val="00165113"/>
    <w:rsid w:val="001709E2"/>
    <w:rsid w:val="00174C10"/>
    <w:rsid w:val="00175447"/>
    <w:rsid w:val="00182B85"/>
    <w:rsid w:val="00183038"/>
    <w:rsid w:val="00183882"/>
    <w:rsid w:val="001844B6"/>
    <w:rsid w:val="001851A3"/>
    <w:rsid w:val="001851B9"/>
    <w:rsid w:val="001855B1"/>
    <w:rsid w:val="00186D01"/>
    <w:rsid w:val="0019021E"/>
    <w:rsid w:val="00190A8C"/>
    <w:rsid w:val="00190F9A"/>
    <w:rsid w:val="00194050"/>
    <w:rsid w:val="00194745"/>
    <w:rsid w:val="00194E96"/>
    <w:rsid w:val="001A057A"/>
    <w:rsid w:val="001A07F1"/>
    <w:rsid w:val="001A3B0B"/>
    <w:rsid w:val="001A4332"/>
    <w:rsid w:val="001A4432"/>
    <w:rsid w:val="001A478E"/>
    <w:rsid w:val="001A509E"/>
    <w:rsid w:val="001A6FE6"/>
    <w:rsid w:val="001A7B61"/>
    <w:rsid w:val="001A7D6D"/>
    <w:rsid w:val="001B1210"/>
    <w:rsid w:val="001B2F84"/>
    <w:rsid w:val="001B305C"/>
    <w:rsid w:val="001B34EB"/>
    <w:rsid w:val="001C0644"/>
    <w:rsid w:val="001C0B58"/>
    <w:rsid w:val="001C3363"/>
    <w:rsid w:val="001C4862"/>
    <w:rsid w:val="001C7C39"/>
    <w:rsid w:val="001D09CC"/>
    <w:rsid w:val="001D0AF4"/>
    <w:rsid w:val="001D12D6"/>
    <w:rsid w:val="001D1FC0"/>
    <w:rsid w:val="001D2096"/>
    <w:rsid w:val="001D3A43"/>
    <w:rsid w:val="001D3C11"/>
    <w:rsid w:val="001D4AA8"/>
    <w:rsid w:val="001D4D42"/>
    <w:rsid w:val="001D5EC9"/>
    <w:rsid w:val="001D6B90"/>
    <w:rsid w:val="001E0D36"/>
    <w:rsid w:val="001E152A"/>
    <w:rsid w:val="001E1DA0"/>
    <w:rsid w:val="001E3B6F"/>
    <w:rsid w:val="001E429F"/>
    <w:rsid w:val="001E69A2"/>
    <w:rsid w:val="001F02C1"/>
    <w:rsid w:val="001F2236"/>
    <w:rsid w:val="001F2C00"/>
    <w:rsid w:val="001F4352"/>
    <w:rsid w:val="001F5423"/>
    <w:rsid w:val="001F5DD9"/>
    <w:rsid w:val="001F69E9"/>
    <w:rsid w:val="001F6D51"/>
    <w:rsid w:val="001F71C9"/>
    <w:rsid w:val="001F7CF8"/>
    <w:rsid w:val="00200315"/>
    <w:rsid w:val="0020104C"/>
    <w:rsid w:val="0020151D"/>
    <w:rsid w:val="00201B79"/>
    <w:rsid w:val="00202E56"/>
    <w:rsid w:val="002033D6"/>
    <w:rsid w:val="00203758"/>
    <w:rsid w:val="00204AB1"/>
    <w:rsid w:val="00205E05"/>
    <w:rsid w:val="0020708B"/>
    <w:rsid w:val="00207B21"/>
    <w:rsid w:val="00207D2A"/>
    <w:rsid w:val="00211257"/>
    <w:rsid w:val="002125B7"/>
    <w:rsid w:val="002144F0"/>
    <w:rsid w:val="00216F02"/>
    <w:rsid w:val="0021731F"/>
    <w:rsid w:val="00217CA1"/>
    <w:rsid w:val="00220F29"/>
    <w:rsid w:val="00221FAD"/>
    <w:rsid w:val="0022350E"/>
    <w:rsid w:val="00224645"/>
    <w:rsid w:val="0022490F"/>
    <w:rsid w:val="00225F7F"/>
    <w:rsid w:val="00225F9C"/>
    <w:rsid w:val="002274E5"/>
    <w:rsid w:val="0022767B"/>
    <w:rsid w:val="00227EBE"/>
    <w:rsid w:val="002306B7"/>
    <w:rsid w:val="0023355B"/>
    <w:rsid w:val="00233F75"/>
    <w:rsid w:val="002347A2"/>
    <w:rsid w:val="00235DD9"/>
    <w:rsid w:val="00241738"/>
    <w:rsid w:val="002425C2"/>
    <w:rsid w:val="00242C41"/>
    <w:rsid w:val="002437A8"/>
    <w:rsid w:val="00246360"/>
    <w:rsid w:val="00246AF8"/>
    <w:rsid w:val="00250259"/>
    <w:rsid w:val="00251ED1"/>
    <w:rsid w:val="002530A8"/>
    <w:rsid w:val="00253F4D"/>
    <w:rsid w:val="0026191F"/>
    <w:rsid w:val="00262437"/>
    <w:rsid w:val="00265153"/>
    <w:rsid w:val="0026604F"/>
    <w:rsid w:val="002661FB"/>
    <w:rsid w:val="002713E6"/>
    <w:rsid w:val="002718D6"/>
    <w:rsid w:val="00272539"/>
    <w:rsid w:val="00272F62"/>
    <w:rsid w:val="00272FA0"/>
    <w:rsid w:val="00273A3C"/>
    <w:rsid w:val="002760AC"/>
    <w:rsid w:val="00281E7E"/>
    <w:rsid w:val="00282EFA"/>
    <w:rsid w:val="002837FC"/>
    <w:rsid w:val="00284C30"/>
    <w:rsid w:val="00286282"/>
    <w:rsid w:val="0028755A"/>
    <w:rsid w:val="00287BA8"/>
    <w:rsid w:val="00287DF9"/>
    <w:rsid w:val="00290335"/>
    <w:rsid w:val="0029158C"/>
    <w:rsid w:val="002A06DA"/>
    <w:rsid w:val="002A33A0"/>
    <w:rsid w:val="002A3897"/>
    <w:rsid w:val="002A456F"/>
    <w:rsid w:val="002A46E0"/>
    <w:rsid w:val="002A66D3"/>
    <w:rsid w:val="002A6E2B"/>
    <w:rsid w:val="002B2572"/>
    <w:rsid w:val="002B4D79"/>
    <w:rsid w:val="002B7335"/>
    <w:rsid w:val="002B77F5"/>
    <w:rsid w:val="002C1D0C"/>
    <w:rsid w:val="002C1EC2"/>
    <w:rsid w:val="002C331D"/>
    <w:rsid w:val="002C76CF"/>
    <w:rsid w:val="002D1AE9"/>
    <w:rsid w:val="002D2D7E"/>
    <w:rsid w:val="002D3103"/>
    <w:rsid w:val="002D4104"/>
    <w:rsid w:val="002D4177"/>
    <w:rsid w:val="002D548B"/>
    <w:rsid w:val="002D66B1"/>
    <w:rsid w:val="002D7616"/>
    <w:rsid w:val="002D7ECF"/>
    <w:rsid w:val="002E1C94"/>
    <w:rsid w:val="002E46DE"/>
    <w:rsid w:val="002E5406"/>
    <w:rsid w:val="002E753B"/>
    <w:rsid w:val="002E78D7"/>
    <w:rsid w:val="002F1CB1"/>
    <w:rsid w:val="002F3633"/>
    <w:rsid w:val="002F5B67"/>
    <w:rsid w:val="002F653C"/>
    <w:rsid w:val="002F7D4C"/>
    <w:rsid w:val="00300CED"/>
    <w:rsid w:val="00300D77"/>
    <w:rsid w:val="0030112C"/>
    <w:rsid w:val="003030E1"/>
    <w:rsid w:val="00304677"/>
    <w:rsid w:val="00304C1D"/>
    <w:rsid w:val="003069E8"/>
    <w:rsid w:val="00307737"/>
    <w:rsid w:val="00307E85"/>
    <w:rsid w:val="00310269"/>
    <w:rsid w:val="0031087D"/>
    <w:rsid w:val="00310BBC"/>
    <w:rsid w:val="00310E67"/>
    <w:rsid w:val="003111DB"/>
    <w:rsid w:val="00311373"/>
    <w:rsid w:val="00311CCB"/>
    <w:rsid w:val="00313937"/>
    <w:rsid w:val="00314466"/>
    <w:rsid w:val="003149E9"/>
    <w:rsid w:val="00315292"/>
    <w:rsid w:val="00316B83"/>
    <w:rsid w:val="00317004"/>
    <w:rsid w:val="00317DAD"/>
    <w:rsid w:val="00317FF8"/>
    <w:rsid w:val="003203C7"/>
    <w:rsid w:val="00320415"/>
    <w:rsid w:val="0032145B"/>
    <w:rsid w:val="003228BF"/>
    <w:rsid w:val="00322E0B"/>
    <w:rsid w:val="00323107"/>
    <w:rsid w:val="00323C5A"/>
    <w:rsid w:val="00324485"/>
    <w:rsid w:val="00325A1F"/>
    <w:rsid w:val="003262F7"/>
    <w:rsid w:val="00331DCE"/>
    <w:rsid w:val="00332055"/>
    <w:rsid w:val="00332280"/>
    <w:rsid w:val="003323DB"/>
    <w:rsid w:val="00332B05"/>
    <w:rsid w:val="003330C7"/>
    <w:rsid w:val="00335C9A"/>
    <w:rsid w:val="003409BF"/>
    <w:rsid w:val="00341944"/>
    <w:rsid w:val="00345525"/>
    <w:rsid w:val="00347039"/>
    <w:rsid w:val="00347A9B"/>
    <w:rsid w:val="00351302"/>
    <w:rsid w:val="0035306E"/>
    <w:rsid w:val="00355E73"/>
    <w:rsid w:val="00356841"/>
    <w:rsid w:val="00357DAD"/>
    <w:rsid w:val="003640B6"/>
    <w:rsid w:val="00364715"/>
    <w:rsid w:val="00365687"/>
    <w:rsid w:val="003657AB"/>
    <w:rsid w:val="003709CB"/>
    <w:rsid w:val="00370A03"/>
    <w:rsid w:val="00372979"/>
    <w:rsid w:val="00372A69"/>
    <w:rsid w:val="00376491"/>
    <w:rsid w:val="00380189"/>
    <w:rsid w:val="00380A15"/>
    <w:rsid w:val="00381107"/>
    <w:rsid w:val="00381308"/>
    <w:rsid w:val="003818E8"/>
    <w:rsid w:val="00383295"/>
    <w:rsid w:val="003848EF"/>
    <w:rsid w:val="00384905"/>
    <w:rsid w:val="00385BF8"/>
    <w:rsid w:val="00386560"/>
    <w:rsid w:val="003946A1"/>
    <w:rsid w:val="00395DFD"/>
    <w:rsid w:val="00395F95"/>
    <w:rsid w:val="00396C1A"/>
    <w:rsid w:val="003972F5"/>
    <w:rsid w:val="00397DCB"/>
    <w:rsid w:val="003A12B1"/>
    <w:rsid w:val="003A12EA"/>
    <w:rsid w:val="003A151C"/>
    <w:rsid w:val="003A2B6D"/>
    <w:rsid w:val="003A53C5"/>
    <w:rsid w:val="003A5EEC"/>
    <w:rsid w:val="003A6079"/>
    <w:rsid w:val="003A68AB"/>
    <w:rsid w:val="003A7572"/>
    <w:rsid w:val="003B00FB"/>
    <w:rsid w:val="003B04F0"/>
    <w:rsid w:val="003B1336"/>
    <w:rsid w:val="003B20FC"/>
    <w:rsid w:val="003B30DD"/>
    <w:rsid w:val="003B3E18"/>
    <w:rsid w:val="003B5CBC"/>
    <w:rsid w:val="003B72CF"/>
    <w:rsid w:val="003B78AB"/>
    <w:rsid w:val="003C2DEE"/>
    <w:rsid w:val="003C4286"/>
    <w:rsid w:val="003C433C"/>
    <w:rsid w:val="003C6C81"/>
    <w:rsid w:val="003D11C0"/>
    <w:rsid w:val="003D2341"/>
    <w:rsid w:val="003D2D82"/>
    <w:rsid w:val="003D33A3"/>
    <w:rsid w:val="003D572E"/>
    <w:rsid w:val="003D57B2"/>
    <w:rsid w:val="003D6960"/>
    <w:rsid w:val="003D77EE"/>
    <w:rsid w:val="003E0510"/>
    <w:rsid w:val="003E1BBB"/>
    <w:rsid w:val="003E2295"/>
    <w:rsid w:val="003E54B6"/>
    <w:rsid w:val="003E58BD"/>
    <w:rsid w:val="003E5E49"/>
    <w:rsid w:val="003E66BB"/>
    <w:rsid w:val="003E7A4D"/>
    <w:rsid w:val="003F1D29"/>
    <w:rsid w:val="003F1F49"/>
    <w:rsid w:val="003F2FA0"/>
    <w:rsid w:val="003F42A7"/>
    <w:rsid w:val="003F6045"/>
    <w:rsid w:val="003F6081"/>
    <w:rsid w:val="003F71C5"/>
    <w:rsid w:val="004016DE"/>
    <w:rsid w:val="004025DC"/>
    <w:rsid w:val="00402E80"/>
    <w:rsid w:val="004041B8"/>
    <w:rsid w:val="004045D6"/>
    <w:rsid w:val="00405ACA"/>
    <w:rsid w:val="00406B23"/>
    <w:rsid w:val="00415552"/>
    <w:rsid w:val="00416050"/>
    <w:rsid w:val="00417259"/>
    <w:rsid w:val="004175D4"/>
    <w:rsid w:val="004213F0"/>
    <w:rsid w:val="00422963"/>
    <w:rsid w:val="004240A9"/>
    <w:rsid w:val="0042494E"/>
    <w:rsid w:val="00426AB3"/>
    <w:rsid w:val="00427060"/>
    <w:rsid w:val="00430D68"/>
    <w:rsid w:val="00432445"/>
    <w:rsid w:val="00433533"/>
    <w:rsid w:val="0043446F"/>
    <w:rsid w:val="0043580C"/>
    <w:rsid w:val="00435DA5"/>
    <w:rsid w:val="0043683F"/>
    <w:rsid w:val="0044034F"/>
    <w:rsid w:val="004406D1"/>
    <w:rsid w:val="00440A77"/>
    <w:rsid w:val="004422A6"/>
    <w:rsid w:val="004442E2"/>
    <w:rsid w:val="00444DC8"/>
    <w:rsid w:val="00445634"/>
    <w:rsid w:val="00451404"/>
    <w:rsid w:val="0045253C"/>
    <w:rsid w:val="00452B35"/>
    <w:rsid w:val="004547EA"/>
    <w:rsid w:val="00455895"/>
    <w:rsid w:val="00455EAA"/>
    <w:rsid w:val="00456494"/>
    <w:rsid w:val="00457408"/>
    <w:rsid w:val="004577E1"/>
    <w:rsid w:val="0045799A"/>
    <w:rsid w:val="00462598"/>
    <w:rsid w:val="00463490"/>
    <w:rsid w:val="00466326"/>
    <w:rsid w:val="00470048"/>
    <w:rsid w:val="00470BEA"/>
    <w:rsid w:val="00471060"/>
    <w:rsid w:val="004716AC"/>
    <w:rsid w:val="00471E07"/>
    <w:rsid w:val="00474C24"/>
    <w:rsid w:val="004763AF"/>
    <w:rsid w:val="00481238"/>
    <w:rsid w:val="0048196D"/>
    <w:rsid w:val="00481DBF"/>
    <w:rsid w:val="004832D1"/>
    <w:rsid w:val="00483E1A"/>
    <w:rsid w:val="00483FB7"/>
    <w:rsid w:val="00485114"/>
    <w:rsid w:val="004860C0"/>
    <w:rsid w:val="00487074"/>
    <w:rsid w:val="0049072A"/>
    <w:rsid w:val="00490FCE"/>
    <w:rsid w:val="00490FF7"/>
    <w:rsid w:val="004930F6"/>
    <w:rsid w:val="00493B5E"/>
    <w:rsid w:val="0049416F"/>
    <w:rsid w:val="004948C9"/>
    <w:rsid w:val="00495404"/>
    <w:rsid w:val="00497931"/>
    <w:rsid w:val="004A14BC"/>
    <w:rsid w:val="004A3D93"/>
    <w:rsid w:val="004A3EFD"/>
    <w:rsid w:val="004A3F27"/>
    <w:rsid w:val="004A7E39"/>
    <w:rsid w:val="004B1880"/>
    <w:rsid w:val="004B2989"/>
    <w:rsid w:val="004B3B7B"/>
    <w:rsid w:val="004B4937"/>
    <w:rsid w:val="004B5251"/>
    <w:rsid w:val="004C0DDA"/>
    <w:rsid w:val="004C1BBB"/>
    <w:rsid w:val="004C3CF1"/>
    <w:rsid w:val="004C4C8F"/>
    <w:rsid w:val="004C5754"/>
    <w:rsid w:val="004D0574"/>
    <w:rsid w:val="004D0C7C"/>
    <w:rsid w:val="004D118B"/>
    <w:rsid w:val="004D6A72"/>
    <w:rsid w:val="004D6B68"/>
    <w:rsid w:val="004E1174"/>
    <w:rsid w:val="004E242F"/>
    <w:rsid w:val="004E29C6"/>
    <w:rsid w:val="004E3E8F"/>
    <w:rsid w:val="004E4095"/>
    <w:rsid w:val="004E5E6C"/>
    <w:rsid w:val="004E6683"/>
    <w:rsid w:val="004F5E43"/>
    <w:rsid w:val="004F7BA3"/>
    <w:rsid w:val="00500698"/>
    <w:rsid w:val="00500C9D"/>
    <w:rsid w:val="00503C39"/>
    <w:rsid w:val="00506528"/>
    <w:rsid w:val="00507986"/>
    <w:rsid w:val="00510AC6"/>
    <w:rsid w:val="005116B1"/>
    <w:rsid w:val="00517351"/>
    <w:rsid w:val="00520444"/>
    <w:rsid w:val="005216AE"/>
    <w:rsid w:val="005238F6"/>
    <w:rsid w:val="0052463E"/>
    <w:rsid w:val="005250E6"/>
    <w:rsid w:val="00525511"/>
    <w:rsid w:val="00526B28"/>
    <w:rsid w:val="00527387"/>
    <w:rsid w:val="00527A7D"/>
    <w:rsid w:val="00531A01"/>
    <w:rsid w:val="00533D7B"/>
    <w:rsid w:val="00535433"/>
    <w:rsid w:val="005409C5"/>
    <w:rsid w:val="00540A7C"/>
    <w:rsid w:val="00541FA1"/>
    <w:rsid w:val="00544292"/>
    <w:rsid w:val="005448AD"/>
    <w:rsid w:val="005456EC"/>
    <w:rsid w:val="00547154"/>
    <w:rsid w:val="00554795"/>
    <w:rsid w:val="00556DEA"/>
    <w:rsid w:val="00560465"/>
    <w:rsid w:val="0056070C"/>
    <w:rsid w:val="00560972"/>
    <w:rsid w:val="00562485"/>
    <w:rsid w:val="00563378"/>
    <w:rsid w:val="00563F7B"/>
    <w:rsid w:val="005640A6"/>
    <w:rsid w:val="00564A9A"/>
    <w:rsid w:val="0056664A"/>
    <w:rsid w:val="00570267"/>
    <w:rsid w:val="00570F8E"/>
    <w:rsid w:val="005719FD"/>
    <w:rsid w:val="00571B06"/>
    <w:rsid w:val="00572118"/>
    <w:rsid w:val="00573359"/>
    <w:rsid w:val="00573FAA"/>
    <w:rsid w:val="00574A89"/>
    <w:rsid w:val="00575FFA"/>
    <w:rsid w:val="005766EA"/>
    <w:rsid w:val="00576F30"/>
    <w:rsid w:val="00582997"/>
    <w:rsid w:val="00584C71"/>
    <w:rsid w:val="00586CE4"/>
    <w:rsid w:val="00586D82"/>
    <w:rsid w:val="005875FD"/>
    <w:rsid w:val="005879B8"/>
    <w:rsid w:val="00591130"/>
    <w:rsid w:val="005920A2"/>
    <w:rsid w:val="00593648"/>
    <w:rsid w:val="00594141"/>
    <w:rsid w:val="00594AB6"/>
    <w:rsid w:val="00594AC6"/>
    <w:rsid w:val="00594F99"/>
    <w:rsid w:val="0059679F"/>
    <w:rsid w:val="00596F19"/>
    <w:rsid w:val="005970B5"/>
    <w:rsid w:val="005978D0"/>
    <w:rsid w:val="005A0026"/>
    <w:rsid w:val="005A0B86"/>
    <w:rsid w:val="005A2FC0"/>
    <w:rsid w:val="005A3880"/>
    <w:rsid w:val="005A66F6"/>
    <w:rsid w:val="005A7A14"/>
    <w:rsid w:val="005B341F"/>
    <w:rsid w:val="005B44D6"/>
    <w:rsid w:val="005B47AA"/>
    <w:rsid w:val="005B5651"/>
    <w:rsid w:val="005B613F"/>
    <w:rsid w:val="005C0E7F"/>
    <w:rsid w:val="005C54A9"/>
    <w:rsid w:val="005C59CE"/>
    <w:rsid w:val="005D0BD1"/>
    <w:rsid w:val="005D117E"/>
    <w:rsid w:val="005D16E1"/>
    <w:rsid w:val="005D27B8"/>
    <w:rsid w:val="005D2E03"/>
    <w:rsid w:val="005D3E03"/>
    <w:rsid w:val="005D4544"/>
    <w:rsid w:val="005D4F09"/>
    <w:rsid w:val="005D5178"/>
    <w:rsid w:val="005D6EA8"/>
    <w:rsid w:val="005D6F05"/>
    <w:rsid w:val="005E10E3"/>
    <w:rsid w:val="005E3FC7"/>
    <w:rsid w:val="005E6214"/>
    <w:rsid w:val="005F32E7"/>
    <w:rsid w:val="005F54D7"/>
    <w:rsid w:val="005F698B"/>
    <w:rsid w:val="00600956"/>
    <w:rsid w:val="006011E1"/>
    <w:rsid w:val="00602401"/>
    <w:rsid w:val="00604158"/>
    <w:rsid w:val="0060499A"/>
    <w:rsid w:val="0060559A"/>
    <w:rsid w:val="0060666C"/>
    <w:rsid w:val="00606C5F"/>
    <w:rsid w:val="0061103F"/>
    <w:rsid w:val="00614CE6"/>
    <w:rsid w:val="006158F9"/>
    <w:rsid w:val="00615CA5"/>
    <w:rsid w:val="00615D43"/>
    <w:rsid w:val="00616BCC"/>
    <w:rsid w:val="0061761A"/>
    <w:rsid w:val="00622448"/>
    <w:rsid w:val="00623DFF"/>
    <w:rsid w:val="00624299"/>
    <w:rsid w:val="006243EB"/>
    <w:rsid w:val="00625536"/>
    <w:rsid w:val="00625968"/>
    <w:rsid w:val="00625AC1"/>
    <w:rsid w:val="00626698"/>
    <w:rsid w:val="006267F8"/>
    <w:rsid w:val="00630966"/>
    <w:rsid w:val="00630EC4"/>
    <w:rsid w:val="00630EC9"/>
    <w:rsid w:val="00631B4C"/>
    <w:rsid w:val="00632522"/>
    <w:rsid w:val="006328B1"/>
    <w:rsid w:val="00632CB9"/>
    <w:rsid w:val="00635BAE"/>
    <w:rsid w:val="00637714"/>
    <w:rsid w:val="00641D5A"/>
    <w:rsid w:val="00642777"/>
    <w:rsid w:val="00643B89"/>
    <w:rsid w:val="00644C50"/>
    <w:rsid w:val="00645936"/>
    <w:rsid w:val="00646433"/>
    <w:rsid w:val="00646B92"/>
    <w:rsid w:val="00647402"/>
    <w:rsid w:val="00650282"/>
    <w:rsid w:val="00650A11"/>
    <w:rsid w:val="00650A1C"/>
    <w:rsid w:val="006511BB"/>
    <w:rsid w:val="006531EF"/>
    <w:rsid w:val="00655DA6"/>
    <w:rsid w:val="00656305"/>
    <w:rsid w:val="0066034A"/>
    <w:rsid w:val="006631B8"/>
    <w:rsid w:val="006656EC"/>
    <w:rsid w:val="006662EE"/>
    <w:rsid w:val="00667977"/>
    <w:rsid w:val="00667D10"/>
    <w:rsid w:val="006725A4"/>
    <w:rsid w:val="00674043"/>
    <w:rsid w:val="0067720E"/>
    <w:rsid w:val="00677C65"/>
    <w:rsid w:val="0068051F"/>
    <w:rsid w:val="006812CF"/>
    <w:rsid w:val="00681B40"/>
    <w:rsid w:val="006820E6"/>
    <w:rsid w:val="006824EE"/>
    <w:rsid w:val="00682BBC"/>
    <w:rsid w:val="00684490"/>
    <w:rsid w:val="00685CB3"/>
    <w:rsid w:val="006867B7"/>
    <w:rsid w:val="00686F5E"/>
    <w:rsid w:val="006914EF"/>
    <w:rsid w:val="00692DE8"/>
    <w:rsid w:val="0069403E"/>
    <w:rsid w:val="006945C8"/>
    <w:rsid w:val="006A0557"/>
    <w:rsid w:val="006A0782"/>
    <w:rsid w:val="006A1B09"/>
    <w:rsid w:val="006A2A2C"/>
    <w:rsid w:val="006A2D92"/>
    <w:rsid w:val="006A56C1"/>
    <w:rsid w:val="006A5A2E"/>
    <w:rsid w:val="006B04D1"/>
    <w:rsid w:val="006B131C"/>
    <w:rsid w:val="006B3C41"/>
    <w:rsid w:val="006B4257"/>
    <w:rsid w:val="006B4B0D"/>
    <w:rsid w:val="006B4E05"/>
    <w:rsid w:val="006B70AF"/>
    <w:rsid w:val="006C0521"/>
    <w:rsid w:val="006C17EA"/>
    <w:rsid w:val="006C5CE3"/>
    <w:rsid w:val="006C6483"/>
    <w:rsid w:val="006C7426"/>
    <w:rsid w:val="006D1474"/>
    <w:rsid w:val="006D1F7D"/>
    <w:rsid w:val="006D29CD"/>
    <w:rsid w:val="006D2BE3"/>
    <w:rsid w:val="006D2BEB"/>
    <w:rsid w:val="006D2BF3"/>
    <w:rsid w:val="006D37CF"/>
    <w:rsid w:val="006D3DCE"/>
    <w:rsid w:val="006E11EC"/>
    <w:rsid w:val="006E17B6"/>
    <w:rsid w:val="006E1919"/>
    <w:rsid w:val="006E58A2"/>
    <w:rsid w:val="006E7242"/>
    <w:rsid w:val="006E7CFB"/>
    <w:rsid w:val="006F0945"/>
    <w:rsid w:val="006F3329"/>
    <w:rsid w:val="006F3BB8"/>
    <w:rsid w:val="006F6CFD"/>
    <w:rsid w:val="0070149F"/>
    <w:rsid w:val="00703D2D"/>
    <w:rsid w:val="00706FE9"/>
    <w:rsid w:val="00710BF9"/>
    <w:rsid w:val="0071191B"/>
    <w:rsid w:val="00712914"/>
    <w:rsid w:val="0071360C"/>
    <w:rsid w:val="0071367B"/>
    <w:rsid w:val="007139B6"/>
    <w:rsid w:val="0071468E"/>
    <w:rsid w:val="007148AA"/>
    <w:rsid w:val="007164E6"/>
    <w:rsid w:val="0071686F"/>
    <w:rsid w:val="00716A12"/>
    <w:rsid w:val="00716D5C"/>
    <w:rsid w:val="00716E66"/>
    <w:rsid w:val="00717760"/>
    <w:rsid w:val="00717800"/>
    <w:rsid w:val="007208D9"/>
    <w:rsid w:val="00720AF5"/>
    <w:rsid w:val="00720C9D"/>
    <w:rsid w:val="00720FFE"/>
    <w:rsid w:val="00724C0F"/>
    <w:rsid w:val="00732185"/>
    <w:rsid w:val="0073258B"/>
    <w:rsid w:val="00732BA8"/>
    <w:rsid w:val="0073350E"/>
    <w:rsid w:val="00733F8C"/>
    <w:rsid w:val="00734E99"/>
    <w:rsid w:val="007359A7"/>
    <w:rsid w:val="00736976"/>
    <w:rsid w:val="00736A54"/>
    <w:rsid w:val="0074128D"/>
    <w:rsid w:val="00744ECC"/>
    <w:rsid w:val="0074677C"/>
    <w:rsid w:val="00746E21"/>
    <w:rsid w:val="0074740B"/>
    <w:rsid w:val="00747E73"/>
    <w:rsid w:val="0075393B"/>
    <w:rsid w:val="0075471A"/>
    <w:rsid w:val="0075771C"/>
    <w:rsid w:val="007608D7"/>
    <w:rsid w:val="00760C0D"/>
    <w:rsid w:val="00761231"/>
    <w:rsid w:val="00763D76"/>
    <w:rsid w:val="00764FAA"/>
    <w:rsid w:val="00767A04"/>
    <w:rsid w:val="00773719"/>
    <w:rsid w:val="00773B58"/>
    <w:rsid w:val="00774343"/>
    <w:rsid w:val="007754E1"/>
    <w:rsid w:val="00777487"/>
    <w:rsid w:val="007777A1"/>
    <w:rsid w:val="0078003D"/>
    <w:rsid w:val="0078273E"/>
    <w:rsid w:val="00782DCD"/>
    <w:rsid w:val="00782F88"/>
    <w:rsid w:val="0078471D"/>
    <w:rsid w:val="00784EC0"/>
    <w:rsid w:val="00786D45"/>
    <w:rsid w:val="0078730F"/>
    <w:rsid w:val="0078760F"/>
    <w:rsid w:val="00787E15"/>
    <w:rsid w:val="007913FD"/>
    <w:rsid w:val="0079221B"/>
    <w:rsid w:val="007925C2"/>
    <w:rsid w:val="00796A50"/>
    <w:rsid w:val="007A01E1"/>
    <w:rsid w:val="007A2D22"/>
    <w:rsid w:val="007A49C2"/>
    <w:rsid w:val="007A4BDD"/>
    <w:rsid w:val="007B05B3"/>
    <w:rsid w:val="007B14CE"/>
    <w:rsid w:val="007B33D7"/>
    <w:rsid w:val="007B5AC7"/>
    <w:rsid w:val="007B63AB"/>
    <w:rsid w:val="007B6556"/>
    <w:rsid w:val="007B732A"/>
    <w:rsid w:val="007C08F8"/>
    <w:rsid w:val="007C10F1"/>
    <w:rsid w:val="007C1837"/>
    <w:rsid w:val="007C2377"/>
    <w:rsid w:val="007C293A"/>
    <w:rsid w:val="007C7DFA"/>
    <w:rsid w:val="007D0844"/>
    <w:rsid w:val="007D0CC0"/>
    <w:rsid w:val="007D2908"/>
    <w:rsid w:val="007D537B"/>
    <w:rsid w:val="007D6F3F"/>
    <w:rsid w:val="007E0447"/>
    <w:rsid w:val="007E1522"/>
    <w:rsid w:val="007E190E"/>
    <w:rsid w:val="007E1D58"/>
    <w:rsid w:val="007E5728"/>
    <w:rsid w:val="007E6066"/>
    <w:rsid w:val="007E6CF8"/>
    <w:rsid w:val="007E6ECC"/>
    <w:rsid w:val="007E7285"/>
    <w:rsid w:val="007F0ABE"/>
    <w:rsid w:val="007F0ED9"/>
    <w:rsid w:val="007F25A7"/>
    <w:rsid w:val="007F2645"/>
    <w:rsid w:val="007F3AC0"/>
    <w:rsid w:val="007F435A"/>
    <w:rsid w:val="007F4668"/>
    <w:rsid w:val="007F571B"/>
    <w:rsid w:val="007F64C7"/>
    <w:rsid w:val="008031EC"/>
    <w:rsid w:val="008034D8"/>
    <w:rsid w:val="008054F0"/>
    <w:rsid w:val="00805BD3"/>
    <w:rsid w:val="00807DB6"/>
    <w:rsid w:val="00815425"/>
    <w:rsid w:val="008155E3"/>
    <w:rsid w:val="00817638"/>
    <w:rsid w:val="008228A5"/>
    <w:rsid w:val="00822B3C"/>
    <w:rsid w:val="00826F71"/>
    <w:rsid w:val="00830ED9"/>
    <w:rsid w:val="008326DB"/>
    <w:rsid w:val="00834367"/>
    <w:rsid w:val="00834912"/>
    <w:rsid w:val="00834AB9"/>
    <w:rsid w:val="008369A3"/>
    <w:rsid w:val="00837300"/>
    <w:rsid w:val="00837F65"/>
    <w:rsid w:val="008410B6"/>
    <w:rsid w:val="00842CA0"/>
    <w:rsid w:val="00845B33"/>
    <w:rsid w:val="008478CE"/>
    <w:rsid w:val="00847C2B"/>
    <w:rsid w:val="00847E7D"/>
    <w:rsid w:val="00847F14"/>
    <w:rsid w:val="00850B48"/>
    <w:rsid w:val="00850CF7"/>
    <w:rsid w:val="00854B58"/>
    <w:rsid w:val="0085583B"/>
    <w:rsid w:val="008576E4"/>
    <w:rsid w:val="00857E85"/>
    <w:rsid w:val="00860E75"/>
    <w:rsid w:val="0086103A"/>
    <w:rsid w:val="0086116B"/>
    <w:rsid w:val="008617EA"/>
    <w:rsid w:val="0086208D"/>
    <w:rsid w:val="008629E3"/>
    <w:rsid w:val="00864321"/>
    <w:rsid w:val="00865DC8"/>
    <w:rsid w:val="00870D58"/>
    <w:rsid w:val="008712A0"/>
    <w:rsid w:val="008717D4"/>
    <w:rsid w:val="008721F7"/>
    <w:rsid w:val="00872621"/>
    <w:rsid w:val="008727AA"/>
    <w:rsid w:val="008729DD"/>
    <w:rsid w:val="00873250"/>
    <w:rsid w:val="00873825"/>
    <w:rsid w:val="008739EF"/>
    <w:rsid w:val="00873ADE"/>
    <w:rsid w:val="00876F9A"/>
    <w:rsid w:val="00877C17"/>
    <w:rsid w:val="008839E5"/>
    <w:rsid w:val="00883C2B"/>
    <w:rsid w:val="00883C78"/>
    <w:rsid w:val="0088761A"/>
    <w:rsid w:val="00890A9E"/>
    <w:rsid w:val="00892576"/>
    <w:rsid w:val="00894601"/>
    <w:rsid w:val="00894CD3"/>
    <w:rsid w:val="00895D49"/>
    <w:rsid w:val="0089699B"/>
    <w:rsid w:val="008A4654"/>
    <w:rsid w:val="008A6491"/>
    <w:rsid w:val="008A6708"/>
    <w:rsid w:val="008A70C3"/>
    <w:rsid w:val="008A7CF1"/>
    <w:rsid w:val="008B0674"/>
    <w:rsid w:val="008B0B60"/>
    <w:rsid w:val="008B0CFF"/>
    <w:rsid w:val="008B20C2"/>
    <w:rsid w:val="008B333C"/>
    <w:rsid w:val="008B3CD2"/>
    <w:rsid w:val="008B5C6E"/>
    <w:rsid w:val="008B75E1"/>
    <w:rsid w:val="008C011F"/>
    <w:rsid w:val="008C0805"/>
    <w:rsid w:val="008C096C"/>
    <w:rsid w:val="008C0B6E"/>
    <w:rsid w:val="008C1CAA"/>
    <w:rsid w:val="008C26F4"/>
    <w:rsid w:val="008C3539"/>
    <w:rsid w:val="008C3A66"/>
    <w:rsid w:val="008C4888"/>
    <w:rsid w:val="008C624A"/>
    <w:rsid w:val="008D0865"/>
    <w:rsid w:val="008D1DB1"/>
    <w:rsid w:val="008D1DF0"/>
    <w:rsid w:val="008D3892"/>
    <w:rsid w:val="008D39AA"/>
    <w:rsid w:val="008D5118"/>
    <w:rsid w:val="008D55F9"/>
    <w:rsid w:val="008D6A9C"/>
    <w:rsid w:val="008E0D56"/>
    <w:rsid w:val="008E1C76"/>
    <w:rsid w:val="008E2B2F"/>
    <w:rsid w:val="008E348C"/>
    <w:rsid w:val="008E4DFF"/>
    <w:rsid w:val="008E549E"/>
    <w:rsid w:val="008E54D0"/>
    <w:rsid w:val="008E5E23"/>
    <w:rsid w:val="008E67C0"/>
    <w:rsid w:val="008E7F9F"/>
    <w:rsid w:val="008F09FE"/>
    <w:rsid w:val="008F1046"/>
    <w:rsid w:val="008F18B3"/>
    <w:rsid w:val="008F1E40"/>
    <w:rsid w:val="008F281A"/>
    <w:rsid w:val="008F2DC7"/>
    <w:rsid w:val="008F5890"/>
    <w:rsid w:val="008F5B59"/>
    <w:rsid w:val="008F6E9D"/>
    <w:rsid w:val="00900C12"/>
    <w:rsid w:val="00901EDF"/>
    <w:rsid w:val="00903CAE"/>
    <w:rsid w:val="0090499B"/>
    <w:rsid w:val="00904B02"/>
    <w:rsid w:val="00904BBF"/>
    <w:rsid w:val="009050B9"/>
    <w:rsid w:val="00905752"/>
    <w:rsid w:val="00906288"/>
    <w:rsid w:val="00906E14"/>
    <w:rsid w:val="009076FD"/>
    <w:rsid w:val="0091113E"/>
    <w:rsid w:val="009128E8"/>
    <w:rsid w:val="00914581"/>
    <w:rsid w:val="00920962"/>
    <w:rsid w:val="00920A27"/>
    <w:rsid w:val="00924E21"/>
    <w:rsid w:val="0092726F"/>
    <w:rsid w:val="009308F0"/>
    <w:rsid w:val="0093251D"/>
    <w:rsid w:val="00932CDB"/>
    <w:rsid w:val="00935F44"/>
    <w:rsid w:val="00936C94"/>
    <w:rsid w:val="00937CD8"/>
    <w:rsid w:val="00937DFB"/>
    <w:rsid w:val="00940A80"/>
    <w:rsid w:val="00941D69"/>
    <w:rsid w:val="00944597"/>
    <w:rsid w:val="00944936"/>
    <w:rsid w:val="00944AA7"/>
    <w:rsid w:val="00946AD7"/>
    <w:rsid w:val="00947C30"/>
    <w:rsid w:val="00947F91"/>
    <w:rsid w:val="0095045E"/>
    <w:rsid w:val="00950571"/>
    <w:rsid w:val="00952D7C"/>
    <w:rsid w:val="009540D9"/>
    <w:rsid w:val="009546F6"/>
    <w:rsid w:val="0095626F"/>
    <w:rsid w:val="009569C9"/>
    <w:rsid w:val="00956BA1"/>
    <w:rsid w:val="00956F7E"/>
    <w:rsid w:val="00961356"/>
    <w:rsid w:val="00962C9F"/>
    <w:rsid w:val="00963DA9"/>
    <w:rsid w:val="0096455D"/>
    <w:rsid w:val="00964F55"/>
    <w:rsid w:val="00965CBF"/>
    <w:rsid w:val="00966271"/>
    <w:rsid w:val="009709DA"/>
    <w:rsid w:val="0097372C"/>
    <w:rsid w:val="0097570D"/>
    <w:rsid w:val="009769C6"/>
    <w:rsid w:val="00977F47"/>
    <w:rsid w:val="00980FD2"/>
    <w:rsid w:val="009837EF"/>
    <w:rsid w:val="00984BDC"/>
    <w:rsid w:val="009857E0"/>
    <w:rsid w:val="00987682"/>
    <w:rsid w:val="00987A1D"/>
    <w:rsid w:val="009918FB"/>
    <w:rsid w:val="00991CE2"/>
    <w:rsid w:val="009A0497"/>
    <w:rsid w:val="009A1142"/>
    <w:rsid w:val="009A1A9A"/>
    <w:rsid w:val="009A2D21"/>
    <w:rsid w:val="009A310D"/>
    <w:rsid w:val="009B157C"/>
    <w:rsid w:val="009B2293"/>
    <w:rsid w:val="009B25BD"/>
    <w:rsid w:val="009B36BF"/>
    <w:rsid w:val="009B5872"/>
    <w:rsid w:val="009B5A80"/>
    <w:rsid w:val="009B671B"/>
    <w:rsid w:val="009B6ACF"/>
    <w:rsid w:val="009B6B48"/>
    <w:rsid w:val="009B7123"/>
    <w:rsid w:val="009B7B65"/>
    <w:rsid w:val="009C0CEB"/>
    <w:rsid w:val="009C2B62"/>
    <w:rsid w:val="009C3E19"/>
    <w:rsid w:val="009C74B5"/>
    <w:rsid w:val="009C7BD2"/>
    <w:rsid w:val="009D0E47"/>
    <w:rsid w:val="009D13F4"/>
    <w:rsid w:val="009D1F1C"/>
    <w:rsid w:val="009D2902"/>
    <w:rsid w:val="009D3AEC"/>
    <w:rsid w:val="009D7957"/>
    <w:rsid w:val="009D7CE6"/>
    <w:rsid w:val="009E008F"/>
    <w:rsid w:val="009E0870"/>
    <w:rsid w:val="009E0D56"/>
    <w:rsid w:val="009E262C"/>
    <w:rsid w:val="009E3B03"/>
    <w:rsid w:val="009E5D8C"/>
    <w:rsid w:val="009E6430"/>
    <w:rsid w:val="009E64A4"/>
    <w:rsid w:val="009E720C"/>
    <w:rsid w:val="009E771F"/>
    <w:rsid w:val="009F1CCB"/>
    <w:rsid w:val="009F471D"/>
    <w:rsid w:val="009F48BD"/>
    <w:rsid w:val="009F56A0"/>
    <w:rsid w:val="009F625C"/>
    <w:rsid w:val="009F6692"/>
    <w:rsid w:val="00A00F82"/>
    <w:rsid w:val="00A02AB8"/>
    <w:rsid w:val="00A0444F"/>
    <w:rsid w:val="00A05393"/>
    <w:rsid w:val="00A05924"/>
    <w:rsid w:val="00A12337"/>
    <w:rsid w:val="00A127AE"/>
    <w:rsid w:val="00A13C00"/>
    <w:rsid w:val="00A143E0"/>
    <w:rsid w:val="00A212FC"/>
    <w:rsid w:val="00A21C3A"/>
    <w:rsid w:val="00A22274"/>
    <w:rsid w:val="00A223AF"/>
    <w:rsid w:val="00A2267C"/>
    <w:rsid w:val="00A23419"/>
    <w:rsid w:val="00A32793"/>
    <w:rsid w:val="00A36183"/>
    <w:rsid w:val="00A37010"/>
    <w:rsid w:val="00A376D1"/>
    <w:rsid w:val="00A4007F"/>
    <w:rsid w:val="00A412A4"/>
    <w:rsid w:val="00A44E29"/>
    <w:rsid w:val="00A45752"/>
    <w:rsid w:val="00A46BA8"/>
    <w:rsid w:val="00A47759"/>
    <w:rsid w:val="00A54607"/>
    <w:rsid w:val="00A55139"/>
    <w:rsid w:val="00A5615B"/>
    <w:rsid w:val="00A566F7"/>
    <w:rsid w:val="00A60788"/>
    <w:rsid w:val="00A624D4"/>
    <w:rsid w:val="00A63795"/>
    <w:rsid w:val="00A63817"/>
    <w:rsid w:val="00A64DFC"/>
    <w:rsid w:val="00A64E67"/>
    <w:rsid w:val="00A65708"/>
    <w:rsid w:val="00A659B3"/>
    <w:rsid w:val="00A74FE2"/>
    <w:rsid w:val="00A75DAF"/>
    <w:rsid w:val="00A76ACC"/>
    <w:rsid w:val="00A80316"/>
    <w:rsid w:val="00A80DCD"/>
    <w:rsid w:val="00A827A8"/>
    <w:rsid w:val="00A8360B"/>
    <w:rsid w:val="00A85060"/>
    <w:rsid w:val="00A857D9"/>
    <w:rsid w:val="00A867B3"/>
    <w:rsid w:val="00A90857"/>
    <w:rsid w:val="00A90A64"/>
    <w:rsid w:val="00A91448"/>
    <w:rsid w:val="00A92245"/>
    <w:rsid w:val="00A928C9"/>
    <w:rsid w:val="00A93A78"/>
    <w:rsid w:val="00A94548"/>
    <w:rsid w:val="00AA0CF2"/>
    <w:rsid w:val="00AA25A1"/>
    <w:rsid w:val="00AA2B6A"/>
    <w:rsid w:val="00AA3306"/>
    <w:rsid w:val="00AA4B70"/>
    <w:rsid w:val="00AA7756"/>
    <w:rsid w:val="00AB2055"/>
    <w:rsid w:val="00AB2960"/>
    <w:rsid w:val="00AB4A42"/>
    <w:rsid w:val="00AB574B"/>
    <w:rsid w:val="00AB6DF3"/>
    <w:rsid w:val="00AB79EC"/>
    <w:rsid w:val="00AC06AD"/>
    <w:rsid w:val="00AC1849"/>
    <w:rsid w:val="00AC1DB2"/>
    <w:rsid w:val="00AC23DD"/>
    <w:rsid w:val="00AC29B4"/>
    <w:rsid w:val="00AC4436"/>
    <w:rsid w:val="00AC694D"/>
    <w:rsid w:val="00AC6D7C"/>
    <w:rsid w:val="00AC758F"/>
    <w:rsid w:val="00AD01BB"/>
    <w:rsid w:val="00AD02B4"/>
    <w:rsid w:val="00AD4CDC"/>
    <w:rsid w:val="00AD5620"/>
    <w:rsid w:val="00AD5C7A"/>
    <w:rsid w:val="00AD5FA3"/>
    <w:rsid w:val="00AD640D"/>
    <w:rsid w:val="00AD6B21"/>
    <w:rsid w:val="00AD6D7F"/>
    <w:rsid w:val="00AE0DAF"/>
    <w:rsid w:val="00AE1E77"/>
    <w:rsid w:val="00AE2076"/>
    <w:rsid w:val="00AE311C"/>
    <w:rsid w:val="00AE32FC"/>
    <w:rsid w:val="00AE3926"/>
    <w:rsid w:val="00AE46AA"/>
    <w:rsid w:val="00AE6061"/>
    <w:rsid w:val="00AF0388"/>
    <w:rsid w:val="00AF05EF"/>
    <w:rsid w:val="00AF0863"/>
    <w:rsid w:val="00AF29BB"/>
    <w:rsid w:val="00AF2B88"/>
    <w:rsid w:val="00AF5F2E"/>
    <w:rsid w:val="00AF63A9"/>
    <w:rsid w:val="00AF680B"/>
    <w:rsid w:val="00AF739D"/>
    <w:rsid w:val="00B00194"/>
    <w:rsid w:val="00B006A9"/>
    <w:rsid w:val="00B00A80"/>
    <w:rsid w:val="00B01ECE"/>
    <w:rsid w:val="00B06148"/>
    <w:rsid w:val="00B068F2"/>
    <w:rsid w:val="00B10278"/>
    <w:rsid w:val="00B12922"/>
    <w:rsid w:val="00B12FE5"/>
    <w:rsid w:val="00B13310"/>
    <w:rsid w:val="00B13DF5"/>
    <w:rsid w:val="00B154EA"/>
    <w:rsid w:val="00B16720"/>
    <w:rsid w:val="00B17990"/>
    <w:rsid w:val="00B20969"/>
    <w:rsid w:val="00B2109F"/>
    <w:rsid w:val="00B21702"/>
    <w:rsid w:val="00B22390"/>
    <w:rsid w:val="00B2258D"/>
    <w:rsid w:val="00B225B0"/>
    <w:rsid w:val="00B318B0"/>
    <w:rsid w:val="00B31E83"/>
    <w:rsid w:val="00B3230A"/>
    <w:rsid w:val="00B325B0"/>
    <w:rsid w:val="00B328FC"/>
    <w:rsid w:val="00B3411C"/>
    <w:rsid w:val="00B4136C"/>
    <w:rsid w:val="00B4271C"/>
    <w:rsid w:val="00B42A04"/>
    <w:rsid w:val="00B42A63"/>
    <w:rsid w:val="00B43453"/>
    <w:rsid w:val="00B450F8"/>
    <w:rsid w:val="00B47A0F"/>
    <w:rsid w:val="00B47CFD"/>
    <w:rsid w:val="00B50649"/>
    <w:rsid w:val="00B51927"/>
    <w:rsid w:val="00B51DCA"/>
    <w:rsid w:val="00B51EDA"/>
    <w:rsid w:val="00B5400D"/>
    <w:rsid w:val="00B549E8"/>
    <w:rsid w:val="00B55516"/>
    <w:rsid w:val="00B557B6"/>
    <w:rsid w:val="00B55E3F"/>
    <w:rsid w:val="00B60A1E"/>
    <w:rsid w:val="00B6156C"/>
    <w:rsid w:val="00B61595"/>
    <w:rsid w:val="00B6327A"/>
    <w:rsid w:val="00B657A0"/>
    <w:rsid w:val="00B65FA8"/>
    <w:rsid w:val="00B66384"/>
    <w:rsid w:val="00B664D8"/>
    <w:rsid w:val="00B67EB0"/>
    <w:rsid w:val="00B7014D"/>
    <w:rsid w:val="00B7017B"/>
    <w:rsid w:val="00B722B5"/>
    <w:rsid w:val="00B73F2E"/>
    <w:rsid w:val="00B74113"/>
    <w:rsid w:val="00B77B55"/>
    <w:rsid w:val="00B827C5"/>
    <w:rsid w:val="00B83B44"/>
    <w:rsid w:val="00B83D1F"/>
    <w:rsid w:val="00B84190"/>
    <w:rsid w:val="00B85EAB"/>
    <w:rsid w:val="00B9057D"/>
    <w:rsid w:val="00B91546"/>
    <w:rsid w:val="00B919DC"/>
    <w:rsid w:val="00B91D3B"/>
    <w:rsid w:val="00B93466"/>
    <w:rsid w:val="00B93D1A"/>
    <w:rsid w:val="00B94293"/>
    <w:rsid w:val="00B94B1E"/>
    <w:rsid w:val="00B9718C"/>
    <w:rsid w:val="00BA1691"/>
    <w:rsid w:val="00BA2000"/>
    <w:rsid w:val="00BA2B44"/>
    <w:rsid w:val="00BA326C"/>
    <w:rsid w:val="00BA4224"/>
    <w:rsid w:val="00BB1709"/>
    <w:rsid w:val="00BB249D"/>
    <w:rsid w:val="00BB76DF"/>
    <w:rsid w:val="00BC1511"/>
    <w:rsid w:val="00BC17BE"/>
    <w:rsid w:val="00BC2FCC"/>
    <w:rsid w:val="00BC468A"/>
    <w:rsid w:val="00BC6D7D"/>
    <w:rsid w:val="00BC7D24"/>
    <w:rsid w:val="00BD0413"/>
    <w:rsid w:val="00BD0C96"/>
    <w:rsid w:val="00BD1479"/>
    <w:rsid w:val="00BD2E17"/>
    <w:rsid w:val="00BD483E"/>
    <w:rsid w:val="00BD4A55"/>
    <w:rsid w:val="00BD6E3E"/>
    <w:rsid w:val="00BD7B1A"/>
    <w:rsid w:val="00BD7B51"/>
    <w:rsid w:val="00BE2ED0"/>
    <w:rsid w:val="00BE3370"/>
    <w:rsid w:val="00BE4286"/>
    <w:rsid w:val="00BE4622"/>
    <w:rsid w:val="00BE5FB9"/>
    <w:rsid w:val="00BE647C"/>
    <w:rsid w:val="00BE650A"/>
    <w:rsid w:val="00BE655B"/>
    <w:rsid w:val="00BE7CC4"/>
    <w:rsid w:val="00BF268F"/>
    <w:rsid w:val="00BF385C"/>
    <w:rsid w:val="00BF6B96"/>
    <w:rsid w:val="00C03042"/>
    <w:rsid w:val="00C0349A"/>
    <w:rsid w:val="00C04A7D"/>
    <w:rsid w:val="00C05B46"/>
    <w:rsid w:val="00C06197"/>
    <w:rsid w:val="00C0675F"/>
    <w:rsid w:val="00C06A01"/>
    <w:rsid w:val="00C079DC"/>
    <w:rsid w:val="00C120C0"/>
    <w:rsid w:val="00C13270"/>
    <w:rsid w:val="00C133FC"/>
    <w:rsid w:val="00C13EF0"/>
    <w:rsid w:val="00C14AF4"/>
    <w:rsid w:val="00C15A21"/>
    <w:rsid w:val="00C173DC"/>
    <w:rsid w:val="00C17AAA"/>
    <w:rsid w:val="00C202C8"/>
    <w:rsid w:val="00C22EBB"/>
    <w:rsid w:val="00C2545A"/>
    <w:rsid w:val="00C26BA5"/>
    <w:rsid w:val="00C303A6"/>
    <w:rsid w:val="00C30AB4"/>
    <w:rsid w:val="00C31CC0"/>
    <w:rsid w:val="00C3203A"/>
    <w:rsid w:val="00C33045"/>
    <w:rsid w:val="00C364F8"/>
    <w:rsid w:val="00C3732E"/>
    <w:rsid w:val="00C41A41"/>
    <w:rsid w:val="00C4306B"/>
    <w:rsid w:val="00C45162"/>
    <w:rsid w:val="00C46EA7"/>
    <w:rsid w:val="00C509D3"/>
    <w:rsid w:val="00C522A9"/>
    <w:rsid w:val="00C55AC0"/>
    <w:rsid w:val="00C60191"/>
    <w:rsid w:val="00C60BBD"/>
    <w:rsid w:val="00C63CA5"/>
    <w:rsid w:val="00C67CDD"/>
    <w:rsid w:val="00C734E1"/>
    <w:rsid w:val="00C74661"/>
    <w:rsid w:val="00C746AE"/>
    <w:rsid w:val="00C75C12"/>
    <w:rsid w:val="00C77859"/>
    <w:rsid w:val="00C84F64"/>
    <w:rsid w:val="00C850F4"/>
    <w:rsid w:val="00C85510"/>
    <w:rsid w:val="00C8797D"/>
    <w:rsid w:val="00C902D7"/>
    <w:rsid w:val="00C94463"/>
    <w:rsid w:val="00C94CD6"/>
    <w:rsid w:val="00C96388"/>
    <w:rsid w:val="00C9661C"/>
    <w:rsid w:val="00C971CD"/>
    <w:rsid w:val="00CA10EB"/>
    <w:rsid w:val="00CA31D5"/>
    <w:rsid w:val="00CA40EE"/>
    <w:rsid w:val="00CA5B78"/>
    <w:rsid w:val="00CA6695"/>
    <w:rsid w:val="00CA70B9"/>
    <w:rsid w:val="00CB511B"/>
    <w:rsid w:val="00CB5722"/>
    <w:rsid w:val="00CC3809"/>
    <w:rsid w:val="00CC4D9E"/>
    <w:rsid w:val="00CC7744"/>
    <w:rsid w:val="00CD058E"/>
    <w:rsid w:val="00CD1006"/>
    <w:rsid w:val="00CD2C94"/>
    <w:rsid w:val="00CD3F58"/>
    <w:rsid w:val="00CD44C8"/>
    <w:rsid w:val="00CD5A0E"/>
    <w:rsid w:val="00CD74B8"/>
    <w:rsid w:val="00CD7AAF"/>
    <w:rsid w:val="00CD7C25"/>
    <w:rsid w:val="00CE015A"/>
    <w:rsid w:val="00CE0571"/>
    <w:rsid w:val="00CE30A6"/>
    <w:rsid w:val="00CE42A1"/>
    <w:rsid w:val="00CE6738"/>
    <w:rsid w:val="00CE6BDB"/>
    <w:rsid w:val="00CE7C01"/>
    <w:rsid w:val="00CF2024"/>
    <w:rsid w:val="00CF2ADA"/>
    <w:rsid w:val="00CF3FBF"/>
    <w:rsid w:val="00CF4AD8"/>
    <w:rsid w:val="00CF61B6"/>
    <w:rsid w:val="00CF671F"/>
    <w:rsid w:val="00D00503"/>
    <w:rsid w:val="00D00846"/>
    <w:rsid w:val="00D01950"/>
    <w:rsid w:val="00D02C89"/>
    <w:rsid w:val="00D04919"/>
    <w:rsid w:val="00D052B4"/>
    <w:rsid w:val="00D07E33"/>
    <w:rsid w:val="00D10076"/>
    <w:rsid w:val="00D10137"/>
    <w:rsid w:val="00D12778"/>
    <w:rsid w:val="00D13B5A"/>
    <w:rsid w:val="00D1488F"/>
    <w:rsid w:val="00D16690"/>
    <w:rsid w:val="00D20645"/>
    <w:rsid w:val="00D20D4C"/>
    <w:rsid w:val="00D22AD5"/>
    <w:rsid w:val="00D23A87"/>
    <w:rsid w:val="00D2449C"/>
    <w:rsid w:val="00D24AAD"/>
    <w:rsid w:val="00D252D1"/>
    <w:rsid w:val="00D2758D"/>
    <w:rsid w:val="00D3177D"/>
    <w:rsid w:val="00D3286E"/>
    <w:rsid w:val="00D337D1"/>
    <w:rsid w:val="00D33EFF"/>
    <w:rsid w:val="00D357D2"/>
    <w:rsid w:val="00D35822"/>
    <w:rsid w:val="00D35E5E"/>
    <w:rsid w:val="00D36E4F"/>
    <w:rsid w:val="00D3772B"/>
    <w:rsid w:val="00D406B9"/>
    <w:rsid w:val="00D41FA2"/>
    <w:rsid w:val="00D420DA"/>
    <w:rsid w:val="00D43E31"/>
    <w:rsid w:val="00D478C9"/>
    <w:rsid w:val="00D50283"/>
    <w:rsid w:val="00D5127D"/>
    <w:rsid w:val="00D60604"/>
    <w:rsid w:val="00D64154"/>
    <w:rsid w:val="00D65A18"/>
    <w:rsid w:val="00D675F9"/>
    <w:rsid w:val="00D6772B"/>
    <w:rsid w:val="00D71F7D"/>
    <w:rsid w:val="00D71F97"/>
    <w:rsid w:val="00D7239D"/>
    <w:rsid w:val="00D73421"/>
    <w:rsid w:val="00D7450E"/>
    <w:rsid w:val="00D7478D"/>
    <w:rsid w:val="00D74A41"/>
    <w:rsid w:val="00D768BD"/>
    <w:rsid w:val="00D76907"/>
    <w:rsid w:val="00D81644"/>
    <w:rsid w:val="00D85D6C"/>
    <w:rsid w:val="00D8754E"/>
    <w:rsid w:val="00D93449"/>
    <w:rsid w:val="00D9441D"/>
    <w:rsid w:val="00D95AEB"/>
    <w:rsid w:val="00D95F22"/>
    <w:rsid w:val="00DA04ED"/>
    <w:rsid w:val="00DA166D"/>
    <w:rsid w:val="00DA35CD"/>
    <w:rsid w:val="00DA664C"/>
    <w:rsid w:val="00DA791C"/>
    <w:rsid w:val="00DB17A2"/>
    <w:rsid w:val="00DB1D74"/>
    <w:rsid w:val="00DB25E4"/>
    <w:rsid w:val="00DB3596"/>
    <w:rsid w:val="00DB36C2"/>
    <w:rsid w:val="00DB45EC"/>
    <w:rsid w:val="00DB4917"/>
    <w:rsid w:val="00DB5F07"/>
    <w:rsid w:val="00DB6524"/>
    <w:rsid w:val="00DB6D0F"/>
    <w:rsid w:val="00DC14F0"/>
    <w:rsid w:val="00DC1945"/>
    <w:rsid w:val="00DC3DE0"/>
    <w:rsid w:val="00DC4D19"/>
    <w:rsid w:val="00DC5D87"/>
    <w:rsid w:val="00DC68C9"/>
    <w:rsid w:val="00DD1B1B"/>
    <w:rsid w:val="00DD2D41"/>
    <w:rsid w:val="00DD32DC"/>
    <w:rsid w:val="00DD617D"/>
    <w:rsid w:val="00DE04E0"/>
    <w:rsid w:val="00DE06E0"/>
    <w:rsid w:val="00DE1A81"/>
    <w:rsid w:val="00DE39C4"/>
    <w:rsid w:val="00DE55FF"/>
    <w:rsid w:val="00DE5F6F"/>
    <w:rsid w:val="00DE79D3"/>
    <w:rsid w:val="00DE7F03"/>
    <w:rsid w:val="00DF281F"/>
    <w:rsid w:val="00DF2F4B"/>
    <w:rsid w:val="00DF71A3"/>
    <w:rsid w:val="00E00448"/>
    <w:rsid w:val="00E00B23"/>
    <w:rsid w:val="00E0117D"/>
    <w:rsid w:val="00E0310F"/>
    <w:rsid w:val="00E03125"/>
    <w:rsid w:val="00E04357"/>
    <w:rsid w:val="00E04D95"/>
    <w:rsid w:val="00E0769B"/>
    <w:rsid w:val="00E10B5C"/>
    <w:rsid w:val="00E11760"/>
    <w:rsid w:val="00E119E8"/>
    <w:rsid w:val="00E12973"/>
    <w:rsid w:val="00E139C5"/>
    <w:rsid w:val="00E141EC"/>
    <w:rsid w:val="00E14792"/>
    <w:rsid w:val="00E14DAE"/>
    <w:rsid w:val="00E155FA"/>
    <w:rsid w:val="00E16600"/>
    <w:rsid w:val="00E169CD"/>
    <w:rsid w:val="00E205A2"/>
    <w:rsid w:val="00E217A2"/>
    <w:rsid w:val="00E2280E"/>
    <w:rsid w:val="00E228DE"/>
    <w:rsid w:val="00E23208"/>
    <w:rsid w:val="00E24758"/>
    <w:rsid w:val="00E2763D"/>
    <w:rsid w:val="00E3374A"/>
    <w:rsid w:val="00E33FF7"/>
    <w:rsid w:val="00E345DB"/>
    <w:rsid w:val="00E3545D"/>
    <w:rsid w:val="00E3574A"/>
    <w:rsid w:val="00E35A46"/>
    <w:rsid w:val="00E36123"/>
    <w:rsid w:val="00E40533"/>
    <w:rsid w:val="00E405B8"/>
    <w:rsid w:val="00E435D8"/>
    <w:rsid w:val="00E4448D"/>
    <w:rsid w:val="00E46F96"/>
    <w:rsid w:val="00E475AC"/>
    <w:rsid w:val="00E50561"/>
    <w:rsid w:val="00E50D28"/>
    <w:rsid w:val="00E51807"/>
    <w:rsid w:val="00E53642"/>
    <w:rsid w:val="00E53896"/>
    <w:rsid w:val="00E5597A"/>
    <w:rsid w:val="00E55ABB"/>
    <w:rsid w:val="00E5686D"/>
    <w:rsid w:val="00E5737B"/>
    <w:rsid w:val="00E6038C"/>
    <w:rsid w:val="00E60876"/>
    <w:rsid w:val="00E60BCA"/>
    <w:rsid w:val="00E611CD"/>
    <w:rsid w:val="00E62FEA"/>
    <w:rsid w:val="00E64602"/>
    <w:rsid w:val="00E659E5"/>
    <w:rsid w:val="00E675B6"/>
    <w:rsid w:val="00E67B60"/>
    <w:rsid w:val="00E67D90"/>
    <w:rsid w:val="00E72931"/>
    <w:rsid w:val="00E74DC5"/>
    <w:rsid w:val="00E75380"/>
    <w:rsid w:val="00E7665D"/>
    <w:rsid w:val="00E766DF"/>
    <w:rsid w:val="00E8172C"/>
    <w:rsid w:val="00E81F35"/>
    <w:rsid w:val="00E82A56"/>
    <w:rsid w:val="00E82B1A"/>
    <w:rsid w:val="00E83D8A"/>
    <w:rsid w:val="00E90731"/>
    <w:rsid w:val="00E91FA1"/>
    <w:rsid w:val="00E950F1"/>
    <w:rsid w:val="00E95A84"/>
    <w:rsid w:val="00E9629B"/>
    <w:rsid w:val="00E96CB5"/>
    <w:rsid w:val="00E9789E"/>
    <w:rsid w:val="00E97BF4"/>
    <w:rsid w:val="00EA0B74"/>
    <w:rsid w:val="00EA2A88"/>
    <w:rsid w:val="00EA3E93"/>
    <w:rsid w:val="00EA78FF"/>
    <w:rsid w:val="00EB002B"/>
    <w:rsid w:val="00EB094A"/>
    <w:rsid w:val="00EB279B"/>
    <w:rsid w:val="00EB2CA5"/>
    <w:rsid w:val="00EB43FD"/>
    <w:rsid w:val="00EB44BE"/>
    <w:rsid w:val="00EB4682"/>
    <w:rsid w:val="00EB477D"/>
    <w:rsid w:val="00EB7FCF"/>
    <w:rsid w:val="00EC17A1"/>
    <w:rsid w:val="00EC28E5"/>
    <w:rsid w:val="00EC5183"/>
    <w:rsid w:val="00EC543F"/>
    <w:rsid w:val="00EC6350"/>
    <w:rsid w:val="00EC6B93"/>
    <w:rsid w:val="00EC741D"/>
    <w:rsid w:val="00ED508B"/>
    <w:rsid w:val="00EE0868"/>
    <w:rsid w:val="00EE1372"/>
    <w:rsid w:val="00EE1BFF"/>
    <w:rsid w:val="00EE1F4E"/>
    <w:rsid w:val="00EE585D"/>
    <w:rsid w:val="00EE58CB"/>
    <w:rsid w:val="00EF0B62"/>
    <w:rsid w:val="00EF1989"/>
    <w:rsid w:val="00EF3A40"/>
    <w:rsid w:val="00EF468B"/>
    <w:rsid w:val="00EF5429"/>
    <w:rsid w:val="00F02857"/>
    <w:rsid w:val="00F03424"/>
    <w:rsid w:val="00F04CDD"/>
    <w:rsid w:val="00F0606D"/>
    <w:rsid w:val="00F06858"/>
    <w:rsid w:val="00F071A7"/>
    <w:rsid w:val="00F0778D"/>
    <w:rsid w:val="00F077D3"/>
    <w:rsid w:val="00F07E0C"/>
    <w:rsid w:val="00F1328C"/>
    <w:rsid w:val="00F13817"/>
    <w:rsid w:val="00F13939"/>
    <w:rsid w:val="00F1396A"/>
    <w:rsid w:val="00F13B21"/>
    <w:rsid w:val="00F14463"/>
    <w:rsid w:val="00F1653E"/>
    <w:rsid w:val="00F16C75"/>
    <w:rsid w:val="00F17FE9"/>
    <w:rsid w:val="00F2128C"/>
    <w:rsid w:val="00F219AD"/>
    <w:rsid w:val="00F23291"/>
    <w:rsid w:val="00F25284"/>
    <w:rsid w:val="00F26CA1"/>
    <w:rsid w:val="00F270C1"/>
    <w:rsid w:val="00F3083D"/>
    <w:rsid w:val="00F31416"/>
    <w:rsid w:val="00F33190"/>
    <w:rsid w:val="00F332A2"/>
    <w:rsid w:val="00F337B2"/>
    <w:rsid w:val="00F33D36"/>
    <w:rsid w:val="00F4080E"/>
    <w:rsid w:val="00F45799"/>
    <w:rsid w:val="00F46725"/>
    <w:rsid w:val="00F46C39"/>
    <w:rsid w:val="00F4755A"/>
    <w:rsid w:val="00F547A2"/>
    <w:rsid w:val="00F555C6"/>
    <w:rsid w:val="00F60CC6"/>
    <w:rsid w:val="00F622E8"/>
    <w:rsid w:val="00F63895"/>
    <w:rsid w:val="00F63F4E"/>
    <w:rsid w:val="00F64822"/>
    <w:rsid w:val="00F65CB3"/>
    <w:rsid w:val="00F66B4C"/>
    <w:rsid w:val="00F6759D"/>
    <w:rsid w:val="00F707E3"/>
    <w:rsid w:val="00F70A77"/>
    <w:rsid w:val="00F71CD0"/>
    <w:rsid w:val="00F71FC5"/>
    <w:rsid w:val="00F73049"/>
    <w:rsid w:val="00F7378F"/>
    <w:rsid w:val="00F77609"/>
    <w:rsid w:val="00F80354"/>
    <w:rsid w:val="00F80AE5"/>
    <w:rsid w:val="00F846D6"/>
    <w:rsid w:val="00F84E50"/>
    <w:rsid w:val="00F85083"/>
    <w:rsid w:val="00F8607A"/>
    <w:rsid w:val="00F9065F"/>
    <w:rsid w:val="00F9142F"/>
    <w:rsid w:val="00F91F5A"/>
    <w:rsid w:val="00F92F01"/>
    <w:rsid w:val="00F941C2"/>
    <w:rsid w:val="00F95B2C"/>
    <w:rsid w:val="00F971E5"/>
    <w:rsid w:val="00FA0AA2"/>
    <w:rsid w:val="00FA509B"/>
    <w:rsid w:val="00FA63FD"/>
    <w:rsid w:val="00FB0F81"/>
    <w:rsid w:val="00FB17F6"/>
    <w:rsid w:val="00FB3263"/>
    <w:rsid w:val="00FB5BC7"/>
    <w:rsid w:val="00FB5CFE"/>
    <w:rsid w:val="00FB6ED3"/>
    <w:rsid w:val="00FB79D5"/>
    <w:rsid w:val="00FC059D"/>
    <w:rsid w:val="00FC07D5"/>
    <w:rsid w:val="00FC0D50"/>
    <w:rsid w:val="00FC3832"/>
    <w:rsid w:val="00FC4514"/>
    <w:rsid w:val="00FC4754"/>
    <w:rsid w:val="00FC6BFA"/>
    <w:rsid w:val="00FD1F2A"/>
    <w:rsid w:val="00FD4195"/>
    <w:rsid w:val="00FD5FBF"/>
    <w:rsid w:val="00FE41CB"/>
    <w:rsid w:val="00FE574F"/>
    <w:rsid w:val="00FE610F"/>
    <w:rsid w:val="00FF029E"/>
    <w:rsid w:val="00FF0918"/>
    <w:rsid w:val="00FF0A78"/>
    <w:rsid w:val="00FF0F21"/>
    <w:rsid w:val="00FF160F"/>
    <w:rsid w:val="00FF2332"/>
    <w:rsid w:val="00FF48F9"/>
    <w:rsid w:val="00FF616D"/>
    <w:rsid w:val="00FF6F4D"/>
    <w:rsid w:val="00FF7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B49E2"/>
  <w14:defaultImageDpi w14:val="96"/>
  <w15:docId w15:val="{13645F6E-7655-4309-9882-79F6D5BA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8D9"/>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B7335"/>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aliases w:val="EBHeading1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aliases w:val="EBHeading2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aliases w:val="EBHeading3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aliases w:val="EBHeading4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rsid w:val="003E54B6"/>
    <w:pPr>
      <w:spacing w:after="120"/>
    </w:pPr>
    <w:rPr>
      <w:rFonts w:cs="Arial"/>
      <w:bCs/>
      <w:color w:val="000000"/>
      <w:sz w:val="22"/>
      <w:szCs w:val="22"/>
    </w:rPr>
  </w:style>
  <w:style w:type="character" w:customStyle="1" w:styleId="BodyTextChar">
    <w:name w:val="Body Text Char"/>
    <w:basedOn w:val="DefaultParagraphFont"/>
    <w:link w:val="BodyText"/>
    <w:uiPriority w:val="99"/>
    <w:locked/>
    <w:rsid w:val="0049416F"/>
    <w:rPr>
      <w:rFonts w:ascii="Arial" w:hAnsi="Arial" w:cs="Times New Roman"/>
      <w:color w:val="000000"/>
      <w:sz w:val="22"/>
      <w:lang w:val="en-GB" w:eastAsia="en-GB"/>
    </w:rPr>
  </w:style>
  <w:style w:type="table" w:styleId="TableGrid">
    <w:name w:val="Table Grid"/>
    <w:basedOn w:val="TableNormal"/>
    <w:uiPriority w:val="59"/>
    <w:rsid w:val="0002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Borders>
        <w:top w:val="single" w:sz="12" w:space="0" w:color="008080"/>
        <w:left w:val="single" w:sz="12" w:space="0" w:color="008080"/>
        <w:bottom w:val="single" w:sz="12" w:space="0" w:color="008080"/>
        <w:right w:val="single" w:sz="12" w:space="0" w:color="008080"/>
        <w:insideH w:val="single" w:sz="12" w:space="0" w:color="008080"/>
      </w:tblBorders>
      <w:tblCellMar>
        <w:left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Header">
    <w:name w:val="header"/>
    <w:basedOn w:val="Normal"/>
    <w:link w:val="HeaderChar"/>
    <w:uiPriority w:val="99"/>
    <w:rsid w:val="00E96CB5"/>
    <w:pPr>
      <w:jc w:val="center"/>
    </w:pPr>
    <w:rPr>
      <w:caps/>
    </w:rPr>
  </w:style>
  <w:style w:type="character" w:customStyle="1" w:styleId="HeaderChar">
    <w:name w:val="Header Char"/>
    <w:basedOn w:val="DefaultParagraphFont"/>
    <w:link w:val="Header"/>
    <w:uiPriority w:val="99"/>
    <w:semiHidden/>
    <w:locked/>
    <w:rPr>
      <w:rFonts w:ascii="Arial" w:hAnsi="Arial" w:cs="Times New Roman"/>
      <w:sz w:val="24"/>
      <w:szCs w:val="24"/>
      <w:lang w:val="x-none"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semiHidden/>
    <w:locked/>
    <w:rPr>
      <w:rFonts w:ascii="Arial" w:hAnsi="Arial" w:cs="Times New Roman"/>
      <w:sz w:val="24"/>
      <w:szCs w:val="24"/>
      <w:lang w:val="x-none" w:eastAsia="en-US"/>
    </w:rPr>
  </w:style>
  <w:style w:type="character" w:styleId="PageNumber">
    <w:name w:val="page number"/>
    <w:basedOn w:val="DefaultParagraphFont"/>
    <w:uiPriority w:val="99"/>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szCs w:val="24"/>
    </w:rPr>
  </w:style>
  <w:style w:type="paragraph" w:styleId="FootnoteText">
    <w:name w:val="footnote text"/>
    <w:basedOn w:val="Normal"/>
    <w:link w:val="FootnoteTextChar"/>
    <w:uiPriority w:val="99"/>
    <w:semiHidden/>
    <w:rsid w:val="00490FF7"/>
    <w:rPr>
      <w:rFonts w:eastAsia="SimSun"/>
      <w:sz w:val="16"/>
      <w:lang w:eastAsia="zh-CN"/>
    </w:rPr>
  </w:style>
  <w:style w:type="character" w:customStyle="1" w:styleId="FootnoteTextChar">
    <w:name w:val="Footnote Text Char"/>
    <w:basedOn w:val="DefaultParagraphFont"/>
    <w:link w:val="FootnoteText"/>
    <w:uiPriority w:val="99"/>
    <w:semiHidden/>
    <w:locked/>
    <w:rPr>
      <w:rFonts w:ascii="Arial" w:hAnsi="Arial" w:cs="Times New Roman"/>
      <w:lang w:val="x-none" w:eastAsia="en-US"/>
    </w:rPr>
  </w:style>
  <w:style w:type="character" w:styleId="FootnoteReference">
    <w:name w:val="footnote reference"/>
    <w:basedOn w:val="DefaultParagraphFont"/>
    <w:uiPriority w:val="99"/>
    <w:rsid w:val="00B84190"/>
    <w:rPr>
      <w:rFonts w:cs="Times New Roman"/>
      <w:sz w:val="22"/>
      <w:vertAlign w:val="superscript"/>
    </w:rPr>
  </w:style>
  <w:style w:type="paragraph" w:customStyle="1" w:styleId="EBBodyPara">
    <w:name w:val="EBBodyPara"/>
    <w:basedOn w:val="BodyText"/>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paragraph" w:customStyle="1" w:styleId="EBNumber">
    <w:name w:val="EBNumber"/>
    <w:basedOn w:val="BodyText"/>
    <w:rsid w:val="002B7335"/>
    <w:pPr>
      <w:numPr>
        <w:ilvl w:val="1"/>
        <w:numId w:val="20"/>
      </w:numPr>
    </w:pPr>
  </w:style>
  <w:style w:type="paragraph" w:customStyle="1" w:styleId="EBNumberRestart">
    <w:name w:val="EBNumberRestart"/>
    <w:basedOn w:val="BodyText"/>
    <w:next w:val="EBNumber"/>
    <w:rsid w:val="002B7335"/>
    <w:pPr>
      <w:numPr>
        <w:numId w:val="20"/>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2"/>
      </w:numPr>
      <w:ind w:left="0"/>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17"/>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basedOn w:val="Normal"/>
    <w:link w:val="CommentTextChar"/>
    <w:uiPriority w:val="99"/>
    <w:unhideWhenUsed/>
    <w:rsid w:val="00CA40EE"/>
    <w:rPr>
      <w:sz w:val="20"/>
    </w:rPr>
  </w:style>
  <w:style w:type="character" w:customStyle="1" w:styleId="CommentTextChar">
    <w:name w:val="Comment Text Char"/>
    <w:basedOn w:val="DefaultParagraphFont"/>
    <w:link w:val="CommentText"/>
    <w:uiPriority w:val="99"/>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2125B7"/>
    <w:pPr>
      <w:tabs>
        <w:tab w:val="left" w:pos="567"/>
      </w:tabs>
      <w:spacing w:after="120"/>
      <w:ind w:left="567" w:hanging="567"/>
    </w:pPr>
    <w:rPr>
      <w:rFonts w:ascii="Calibri" w:hAnsi="Calibri"/>
      <w:sz w:val="22"/>
    </w:rPr>
  </w:style>
  <w:style w:type="paragraph" w:styleId="NoSpacing">
    <w:name w:val="No Spacing"/>
    <w:uiPriority w:val="1"/>
    <w:qFormat/>
    <w:rsid w:val="002125B7"/>
    <w:rPr>
      <w:rFonts w:ascii="Arial" w:hAnsi="Arial"/>
      <w:sz w:val="22"/>
      <w:lang w:eastAsia="en-US"/>
    </w:rPr>
  </w:style>
  <w:style w:type="paragraph" w:customStyle="1" w:styleId="Style1-BodyText">
    <w:name w:val="Style1- Body Text"/>
    <w:basedOn w:val="Normal"/>
    <w:link w:val="Style1-BodyTextChar"/>
    <w:qFormat/>
    <w:rsid w:val="002125B7"/>
    <w:pPr>
      <w:spacing w:after="120"/>
      <w:jc w:val="both"/>
    </w:pPr>
    <w:rPr>
      <w:rFonts w:cs="Arial"/>
      <w:sz w:val="22"/>
    </w:rPr>
  </w:style>
  <w:style w:type="character" w:customStyle="1" w:styleId="Style1-BodyTextChar">
    <w:name w:val="Style1- Body Text Char"/>
    <w:basedOn w:val="DefaultParagraphFont"/>
    <w:link w:val="Style1-BodyText"/>
    <w:rsid w:val="002125B7"/>
    <w:rPr>
      <w:rFonts w:ascii="Arial"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2125B7"/>
    <w:rPr>
      <w:rFonts w:ascii="Calibri" w:hAnsi="Calibri"/>
      <w:sz w:val="22"/>
      <w:lang w:eastAsia="en-US"/>
    </w:rPr>
  </w:style>
  <w:style w:type="character" w:styleId="Strong">
    <w:name w:val="Strong"/>
    <w:basedOn w:val="DefaultParagraphFont"/>
    <w:qFormat/>
    <w:rsid w:val="002125B7"/>
    <w:rPr>
      <w:b/>
      <w:bCs/>
    </w:rPr>
  </w:style>
  <w:style w:type="paragraph" w:styleId="CommentSubject">
    <w:name w:val="annotation subject"/>
    <w:basedOn w:val="CommentText"/>
    <w:next w:val="CommentText"/>
    <w:link w:val="CommentSubjectChar"/>
    <w:rsid w:val="00C133FC"/>
    <w:rPr>
      <w:b/>
      <w:bCs/>
    </w:rPr>
  </w:style>
  <w:style w:type="character" w:customStyle="1" w:styleId="CommentSubjectChar">
    <w:name w:val="Comment Subject Char"/>
    <w:basedOn w:val="CommentTextChar"/>
    <w:link w:val="CommentSubject"/>
    <w:rsid w:val="00C133FC"/>
    <w:rPr>
      <w:rFonts w:ascii="Arial" w:hAnsi="Arial"/>
      <w:b/>
      <w:bCs/>
      <w:sz w:val="20"/>
      <w:lang w:eastAsia="en-US"/>
    </w:rPr>
  </w:style>
  <w:style w:type="paragraph" w:styleId="Revision">
    <w:name w:val="Revision"/>
    <w:hidden/>
    <w:uiPriority w:val="99"/>
    <w:semiHidden/>
    <w:rsid w:val="00106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75591">
      <w:bodyDiv w:val="1"/>
      <w:marLeft w:val="0"/>
      <w:marRight w:val="0"/>
      <w:marTop w:val="0"/>
      <w:marBottom w:val="0"/>
      <w:divBdr>
        <w:top w:val="none" w:sz="0" w:space="0" w:color="auto"/>
        <w:left w:val="none" w:sz="0" w:space="0" w:color="auto"/>
        <w:bottom w:val="none" w:sz="0" w:space="0" w:color="auto"/>
        <w:right w:val="none" w:sz="0" w:space="0" w:color="auto"/>
      </w:divBdr>
    </w:div>
    <w:div w:id="179391979">
      <w:bodyDiv w:val="1"/>
      <w:marLeft w:val="0"/>
      <w:marRight w:val="0"/>
      <w:marTop w:val="0"/>
      <w:marBottom w:val="0"/>
      <w:divBdr>
        <w:top w:val="none" w:sz="0" w:space="0" w:color="auto"/>
        <w:left w:val="none" w:sz="0" w:space="0" w:color="auto"/>
        <w:bottom w:val="none" w:sz="0" w:space="0" w:color="auto"/>
        <w:right w:val="none" w:sz="0" w:space="0" w:color="auto"/>
      </w:divBdr>
    </w:div>
    <w:div w:id="232786982">
      <w:bodyDiv w:val="1"/>
      <w:marLeft w:val="0"/>
      <w:marRight w:val="0"/>
      <w:marTop w:val="0"/>
      <w:marBottom w:val="0"/>
      <w:divBdr>
        <w:top w:val="none" w:sz="0" w:space="0" w:color="auto"/>
        <w:left w:val="none" w:sz="0" w:space="0" w:color="auto"/>
        <w:bottom w:val="none" w:sz="0" w:space="0" w:color="auto"/>
        <w:right w:val="none" w:sz="0" w:space="0" w:color="auto"/>
      </w:divBdr>
    </w:div>
    <w:div w:id="394164094">
      <w:bodyDiv w:val="1"/>
      <w:marLeft w:val="0"/>
      <w:marRight w:val="0"/>
      <w:marTop w:val="0"/>
      <w:marBottom w:val="0"/>
      <w:divBdr>
        <w:top w:val="none" w:sz="0" w:space="0" w:color="auto"/>
        <w:left w:val="none" w:sz="0" w:space="0" w:color="auto"/>
        <w:bottom w:val="none" w:sz="0" w:space="0" w:color="auto"/>
        <w:right w:val="none" w:sz="0" w:space="0" w:color="auto"/>
      </w:divBdr>
    </w:div>
    <w:div w:id="509181694">
      <w:bodyDiv w:val="1"/>
      <w:marLeft w:val="0"/>
      <w:marRight w:val="0"/>
      <w:marTop w:val="0"/>
      <w:marBottom w:val="0"/>
      <w:divBdr>
        <w:top w:val="none" w:sz="0" w:space="0" w:color="auto"/>
        <w:left w:val="none" w:sz="0" w:space="0" w:color="auto"/>
        <w:bottom w:val="none" w:sz="0" w:space="0" w:color="auto"/>
        <w:right w:val="none" w:sz="0" w:space="0" w:color="auto"/>
      </w:divBdr>
    </w:div>
    <w:div w:id="518616583">
      <w:bodyDiv w:val="1"/>
      <w:marLeft w:val="0"/>
      <w:marRight w:val="0"/>
      <w:marTop w:val="0"/>
      <w:marBottom w:val="0"/>
      <w:divBdr>
        <w:top w:val="none" w:sz="0" w:space="0" w:color="auto"/>
        <w:left w:val="none" w:sz="0" w:space="0" w:color="auto"/>
        <w:bottom w:val="none" w:sz="0" w:space="0" w:color="auto"/>
        <w:right w:val="none" w:sz="0" w:space="0" w:color="auto"/>
      </w:divBdr>
    </w:div>
    <w:div w:id="643391041">
      <w:bodyDiv w:val="1"/>
      <w:marLeft w:val="0"/>
      <w:marRight w:val="0"/>
      <w:marTop w:val="0"/>
      <w:marBottom w:val="0"/>
      <w:divBdr>
        <w:top w:val="none" w:sz="0" w:space="0" w:color="auto"/>
        <w:left w:val="none" w:sz="0" w:space="0" w:color="auto"/>
        <w:bottom w:val="none" w:sz="0" w:space="0" w:color="auto"/>
        <w:right w:val="none" w:sz="0" w:space="0" w:color="auto"/>
      </w:divBdr>
    </w:div>
    <w:div w:id="675113316">
      <w:bodyDiv w:val="1"/>
      <w:marLeft w:val="0"/>
      <w:marRight w:val="0"/>
      <w:marTop w:val="0"/>
      <w:marBottom w:val="0"/>
      <w:divBdr>
        <w:top w:val="none" w:sz="0" w:space="0" w:color="auto"/>
        <w:left w:val="none" w:sz="0" w:space="0" w:color="auto"/>
        <w:bottom w:val="none" w:sz="0" w:space="0" w:color="auto"/>
        <w:right w:val="none" w:sz="0" w:space="0" w:color="auto"/>
      </w:divBdr>
    </w:div>
    <w:div w:id="743531960">
      <w:bodyDiv w:val="1"/>
      <w:marLeft w:val="0"/>
      <w:marRight w:val="0"/>
      <w:marTop w:val="0"/>
      <w:marBottom w:val="0"/>
      <w:divBdr>
        <w:top w:val="none" w:sz="0" w:space="0" w:color="auto"/>
        <w:left w:val="none" w:sz="0" w:space="0" w:color="auto"/>
        <w:bottom w:val="none" w:sz="0" w:space="0" w:color="auto"/>
        <w:right w:val="none" w:sz="0" w:space="0" w:color="auto"/>
      </w:divBdr>
    </w:div>
    <w:div w:id="814837839">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900871175">
      <w:bodyDiv w:val="1"/>
      <w:marLeft w:val="0"/>
      <w:marRight w:val="0"/>
      <w:marTop w:val="0"/>
      <w:marBottom w:val="0"/>
      <w:divBdr>
        <w:top w:val="none" w:sz="0" w:space="0" w:color="auto"/>
        <w:left w:val="none" w:sz="0" w:space="0" w:color="auto"/>
        <w:bottom w:val="none" w:sz="0" w:space="0" w:color="auto"/>
        <w:right w:val="none" w:sz="0" w:space="0" w:color="auto"/>
      </w:divBdr>
    </w:div>
    <w:div w:id="915432714">
      <w:bodyDiv w:val="1"/>
      <w:marLeft w:val="0"/>
      <w:marRight w:val="0"/>
      <w:marTop w:val="0"/>
      <w:marBottom w:val="0"/>
      <w:divBdr>
        <w:top w:val="none" w:sz="0" w:space="0" w:color="auto"/>
        <w:left w:val="none" w:sz="0" w:space="0" w:color="auto"/>
        <w:bottom w:val="none" w:sz="0" w:space="0" w:color="auto"/>
        <w:right w:val="none" w:sz="0" w:space="0" w:color="auto"/>
      </w:divBdr>
    </w:div>
    <w:div w:id="942031296">
      <w:bodyDiv w:val="1"/>
      <w:marLeft w:val="0"/>
      <w:marRight w:val="0"/>
      <w:marTop w:val="0"/>
      <w:marBottom w:val="0"/>
      <w:divBdr>
        <w:top w:val="none" w:sz="0" w:space="0" w:color="auto"/>
        <w:left w:val="none" w:sz="0" w:space="0" w:color="auto"/>
        <w:bottom w:val="none" w:sz="0" w:space="0" w:color="auto"/>
        <w:right w:val="none" w:sz="0" w:space="0" w:color="auto"/>
      </w:divBdr>
    </w:div>
    <w:div w:id="958075571">
      <w:bodyDiv w:val="1"/>
      <w:marLeft w:val="0"/>
      <w:marRight w:val="0"/>
      <w:marTop w:val="0"/>
      <w:marBottom w:val="0"/>
      <w:divBdr>
        <w:top w:val="none" w:sz="0" w:space="0" w:color="auto"/>
        <w:left w:val="none" w:sz="0" w:space="0" w:color="auto"/>
        <w:bottom w:val="none" w:sz="0" w:space="0" w:color="auto"/>
        <w:right w:val="none" w:sz="0" w:space="0" w:color="auto"/>
      </w:divBdr>
    </w:div>
    <w:div w:id="1113667013">
      <w:bodyDiv w:val="1"/>
      <w:marLeft w:val="0"/>
      <w:marRight w:val="0"/>
      <w:marTop w:val="0"/>
      <w:marBottom w:val="0"/>
      <w:divBdr>
        <w:top w:val="none" w:sz="0" w:space="0" w:color="auto"/>
        <w:left w:val="none" w:sz="0" w:space="0" w:color="auto"/>
        <w:bottom w:val="none" w:sz="0" w:space="0" w:color="auto"/>
        <w:right w:val="none" w:sz="0" w:space="0" w:color="auto"/>
      </w:divBdr>
    </w:div>
    <w:div w:id="1125394690">
      <w:bodyDiv w:val="1"/>
      <w:marLeft w:val="0"/>
      <w:marRight w:val="0"/>
      <w:marTop w:val="0"/>
      <w:marBottom w:val="0"/>
      <w:divBdr>
        <w:top w:val="none" w:sz="0" w:space="0" w:color="auto"/>
        <w:left w:val="none" w:sz="0" w:space="0" w:color="auto"/>
        <w:bottom w:val="none" w:sz="0" w:space="0" w:color="auto"/>
        <w:right w:val="none" w:sz="0" w:space="0" w:color="auto"/>
      </w:divBdr>
    </w:div>
    <w:div w:id="1145318351">
      <w:bodyDiv w:val="1"/>
      <w:marLeft w:val="0"/>
      <w:marRight w:val="0"/>
      <w:marTop w:val="0"/>
      <w:marBottom w:val="0"/>
      <w:divBdr>
        <w:top w:val="none" w:sz="0" w:space="0" w:color="auto"/>
        <w:left w:val="none" w:sz="0" w:space="0" w:color="auto"/>
        <w:bottom w:val="none" w:sz="0" w:space="0" w:color="auto"/>
        <w:right w:val="none" w:sz="0" w:space="0" w:color="auto"/>
      </w:divBdr>
    </w:div>
    <w:div w:id="1261141582">
      <w:bodyDiv w:val="1"/>
      <w:marLeft w:val="0"/>
      <w:marRight w:val="0"/>
      <w:marTop w:val="0"/>
      <w:marBottom w:val="0"/>
      <w:divBdr>
        <w:top w:val="none" w:sz="0" w:space="0" w:color="auto"/>
        <w:left w:val="none" w:sz="0" w:space="0" w:color="auto"/>
        <w:bottom w:val="none" w:sz="0" w:space="0" w:color="auto"/>
        <w:right w:val="none" w:sz="0" w:space="0" w:color="auto"/>
      </w:divBdr>
    </w:div>
    <w:div w:id="1311592792">
      <w:bodyDiv w:val="1"/>
      <w:marLeft w:val="0"/>
      <w:marRight w:val="0"/>
      <w:marTop w:val="0"/>
      <w:marBottom w:val="0"/>
      <w:divBdr>
        <w:top w:val="none" w:sz="0" w:space="0" w:color="auto"/>
        <w:left w:val="none" w:sz="0" w:space="0" w:color="auto"/>
        <w:bottom w:val="none" w:sz="0" w:space="0" w:color="auto"/>
        <w:right w:val="none" w:sz="0" w:space="0" w:color="auto"/>
      </w:divBdr>
    </w:div>
    <w:div w:id="1383747550">
      <w:bodyDiv w:val="1"/>
      <w:marLeft w:val="0"/>
      <w:marRight w:val="0"/>
      <w:marTop w:val="0"/>
      <w:marBottom w:val="0"/>
      <w:divBdr>
        <w:top w:val="none" w:sz="0" w:space="0" w:color="auto"/>
        <w:left w:val="none" w:sz="0" w:space="0" w:color="auto"/>
        <w:bottom w:val="none" w:sz="0" w:space="0" w:color="auto"/>
        <w:right w:val="none" w:sz="0" w:space="0" w:color="auto"/>
      </w:divBdr>
    </w:div>
    <w:div w:id="1487473770">
      <w:bodyDiv w:val="1"/>
      <w:marLeft w:val="0"/>
      <w:marRight w:val="0"/>
      <w:marTop w:val="0"/>
      <w:marBottom w:val="0"/>
      <w:divBdr>
        <w:top w:val="none" w:sz="0" w:space="0" w:color="auto"/>
        <w:left w:val="none" w:sz="0" w:space="0" w:color="auto"/>
        <w:bottom w:val="none" w:sz="0" w:space="0" w:color="auto"/>
        <w:right w:val="none" w:sz="0" w:space="0" w:color="auto"/>
      </w:divBdr>
    </w:div>
    <w:div w:id="1571384189">
      <w:bodyDiv w:val="1"/>
      <w:marLeft w:val="0"/>
      <w:marRight w:val="0"/>
      <w:marTop w:val="0"/>
      <w:marBottom w:val="0"/>
      <w:divBdr>
        <w:top w:val="none" w:sz="0" w:space="0" w:color="auto"/>
        <w:left w:val="none" w:sz="0" w:space="0" w:color="auto"/>
        <w:bottom w:val="none" w:sz="0" w:space="0" w:color="auto"/>
        <w:right w:val="none" w:sz="0" w:space="0" w:color="auto"/>
      </w:divBdr>
    </w:div>
    <w:div w:id="1617366100">
      <w:bodyDiv w:val="1"/>
      <w:marLeft w:val="0"/>
      <w:marRight w:val="0"/>
      <w:marTop w:val="0"/>
      <w:marBottom w:val="0"/>
      <w:divBdr>
        <w:top w:val="none" w:sz="0" w:space="0" w:color="auto"/>
        <w:left w:val="none" w:sz="0" w:space="0" w:color="auto"/>
        <w:bottom w:val="none" w:sz="0" w:space="0" w:color="auto"/>
        <w:right w:val="none" w:sz="0" w:space="0" w:color="auto"/>
      </w:divBdr>
    </w:div>
    <w:div w:id="1771580101">
      <w:bodyDiv w:val="1"/>
      <w:marLeft w:val="0"/>
      <w:marRight w:val="0"/>
      <w:marTop w:val="0"/>
      <w:marBottom w:val="0"/>
      <w:divBdr>
        <w:top w:val="none" w:sz="0" w:space="0" w:color="auto"/>
        <w:left w:val="none" w:sz="0" w:space="0" w:color="auto"/>
        <w:bottom w:val="none" w:sz="0" w:space="0" w:color="auto"/>
        <w:right w:val="none" w:sz="0" w:space="0" w:color="auto"/>
      </w:divBdr>
    </w:div>
    <w:div w:id="1811704876">
      <w:bodyDiv w:val="1"/>
      <w:marLeft w:val="0"/>
      <w:marRight w:val="0"/>
      <w:marTop w:val="0"/>
      <w:marBottom w:val="0"/>
      <w:divBdr>
        <w:top w:val="none" w:sz="0" w:space="0" w:color="auto"/>
        <w:left w:val="none" w:sz="0" w:space="0" w:color="auto"/>
        <w:bottom w:val="none" w:sz="0" w:space="0" w:color="auto"/>
        <w:right w:val="none" w:sz="0" w:space="0" w:color="auto"/>
      </w:divBdr>
    </w:div>
    <w:div w:id="1948464181">
      <w:marLeft w:val="0"/>
      <w:marRight w:val="0"/>
      <w:marTop w:val="0"/>
      <w:marBottom w:val="0"/>
      <w:divBdr>
        <w:top w:val="none" w:sz="0" w:space="0" w:color="auto"/>
        <w:left w:val="none" w:sz="0" w:space="0" w:color="auto"/>
        <w:bottom w:val="none" w:sz="0" w:space="0" w:color="auto"/>
        <w:right w:val="none" w:sz="0" w:space="0" w:color="auto"/>
      </w:divBdr>
    </w:div>
    <w:div w:id="1948464182">
      <w:marLeft w:val="0"/>
      <w:marRight w:val="0"/>
      <w:marTop w:val="0"/>
      <w:marBottom w:val="0"/>
      <w:divBdr>
        <w:top w:val="none" w:sz="0" w:space="0" w:color="auto"/>
        <w:left w:val="none" w:sz="0" w:space="0" w:color="auto"/>
        <w:bottom w:val="none" w:sz="0" w:space="0" w:color="auto"/>
        <w:right w:val="none" w:sz="0" w:space="0" w:color="auto"/>
      </w:divBdr>
    </w:div>
    <w:div w:id="1948464183">
      <w:marLeft w:val="0"/>
      <w:marRight w:val="0"/>
      <w:marTop w:val="0"/>
      <w:marBottom w:val="0"/>
      <w:divBdr>
        <w:top w:val="none" w:sz="0" w:space="0" w:color="auto"/>
        <w:left w:val="none" w:sz="0" w:space="0" w:color="auto"/>
        <w:bottom w:val="none" w:sz="0" w:space="0" w:color="auto"/>
        <w:right w:val="none" w:sz="0" w:space="0" w:color="auto"/>
      </w:divBdr>
    </w:div>
    <w:div w:id="19484641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AB908C8-27EE-4D99-9FDE-9F039F4AB235}"/>
      </w:docPartPr>
      <w:docPartBody>
        <w:p w:rsidR="008C2583" w:rsidRDefault="00862925">
          <w:r w:rsidRPr="00CC5954">
            <w:rPr>
              <w:rStyle w:val="PlaceholderText"/>
            </w:rPr>
            <w:t>Click here to enter text.</w:t>
          </w:r>
        </w:p>
      </w:docPartBody>
    </w:docPart>
    <w:docPart>
      <w:docPartPr>
        <w:name w:val="467F15D558F0444BB35BCB17F1E0E252"/>
        <w:category>
          <w:name w:val="General"/>
          <w:gallery w:val="placeholder"/>
        </w:category>
        <w:types>
          <w:type w:val="bbPlcHdr"/>
        </w:types>
        <w:behaviors>
          <w:behavior w:val="content"/>
        </w:behaviors>
        <w:guid w:val="{8000B4C6-51C2-49AA-A8DA-0324D5D69360}"/>
      </w:docPartPr>
      <w:docPartBody>
        <w:p w:rsidR="008C2583" w:rsidRDefault="00862925" w:rsidP="00862925">
          <w:pPr>
            <w:pStyle w:val="467F15D558F0444BB35BCB17F1E0E252"/>
          </w:pPr>
          <w:r w:rsidRPr="00CC5954">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68D63B8F-2FB8-4C54-90B2-0C6A1D28955D}"/>
      </w:docPartPr>
      <w:docPartBody>
        <w:p w:rsidR="00B91967" w:rsidRDefault="00265E85">
          <w:r w:rsidRPr="00C0534C">
            <w:rPr>
              <w:rStyle w:val="PlaceholderText"/>
            </w:rPr>
            <w:t>Click or tap here to enter text.</w:t>
          </w:r>
        </w:p>
      </w:docPartBody>
    </w:docPart>
    <w:docPart>
      <w:docPartPr>
        <w:name w:val="873E64307E5F40099245506EC819755B"/>
        <w:category>
          <w:name w:val="General"/>
          <w:gallery w:val="placeholder"/>
        </w:category>
        <w:types>
          <w:type w:val="bbPlcHdr"/>
        </w:types>
        <w:behaviors>
          <w:behavior w:val="content"/>
        </w:behaviors>
        <w:guid w:val="{9C5C2FFD-248E-4EFC-AD37-AFC976E2B435}"/>
      </w:docPartPr>
      <w:docPartBody>
        <w:p w:rsidR="00861778" w:rsidRDefault="00D71EBA" w:rsidP="00D71EBA">
          <w:pPr>
            <w:pStyle w:val="873E64307E5F40099245506EC819755B"/>
          </w:pPr>
          <w:r w:rsidRPr="00CC5954">
            <w:rPr>
              <w:rStyle w:val="PlaceholderText"/>
            </w:rPr>
            <w:t>Click here to enter text.</w:t>
          </w:r>
        </w:p>
      </w:docPartBody>
    </w:docPart>
    <w:docPart>
      <w:docPartPr>
        <w:name w:val="CACB70A1168B411595FAC6FC6BEBF98B"/>
        <w:category>
          <w:name w:val="General"/>
          <w:gallery w:val="placeholder"/>
        </w:category>
        <w:types>
          <w:type w:val="bbPlcHdr"/>
        </w:types>
        <w:behaviors>
          <w:behavior w:val="content"/>
        </w:behaviors>
        <w:guid w:val="{B15F2C57-5C8D-4A4A-A92E-DAB31D8EF39A}"/>
      </w:docPartPr>
      <w:docPartBody>
        <w:p w:rsidR="006F1ED4" w:rsidRDefault="006F1ED4" w:rsidP="006F1ED4">
          <w:pPr>
            <w:pStyle w:val="CACB70A1168B411595FAC6FC6BEBF98B"/>
          </w:pPr>
          <w:r w:rsidRPr="00CC5954">
            <w:rPr>
              <w:rStyle w:val="PlaceholderText"/>
            </w:rPr>
            <w:t>Click here to enter text.</w:t>
          </w:r>
        </w:p>
      </w:docPartBody>
    </w:docPart>
    <w:docPart>
      <w:docPartPr>
        <w:name w:val="6DDBB321FA75409DA38DDE9CB0FD1E41"/>
        <w:category>
          <w:name w:val="General"/>
          <w:gallery w:val="placeholder"/>
        </w:category>
        <w:types>
          <w:type w:val="bbPlcHdr"/>
        </w:types>
        <w:behaviors>
          <w:behavior w:val="content"/>
        </w:behaviors>
        <w:guid w:val="{B1887427-48CB-457A-BE50-FB55EC6849FD}"/>
      </w:docPartPr>
      <w:docPartBody>
        <w:p w:rsidR="006F1ED4" w:rsidRDefault="006F1ED4" w:rsidP="006F1ED4">
          <w:pPr>
            <w:pStyle w:val="6DDBB321FA75409DA38DDE9CB0FD1E41"/>
          </w:pPr>
          <w:r w:rsidRPr="00CC5954">
            <w:rPr>
              <w:rStyle w:val="PlaceholderText"/>
            </w:rPr>
            <w:t>Click here to enter text.</w:t>
          </w:r>
        </w:p>
      </w:docPartBody>
    </w:docPart>
    <w:docPart>
      <w:docPartPr>
        <w:name w:val="1B5742A7A4F94DA1B86FBACFB3D31E60"/>
        <w:category>
          <w:name w:val="General"/>
          <w:gallery w:val="placeholder"/>
        </w:category>
        <w:types>
          <w:type w:val="bbPlcHdr"/>
        </w:types>
        <w:behaviors>
          <w:behavior w:val="content"/>
        </w:behaviors>
        <w:guid w:val="{A3FE7FB1-A2C6-4074-BD0C-FE9DACF4123D}"/>
      </w:docPartPr>
      <w:docPartBody>
        <w:p w:rsidR="006F1ED4" w:rsidRDefault="006F1ED4" w:rsidP="006F1ED4">
          <w:pPr>
            <w:pStyle w:val="1B5742A7A4F94DA1B86FBACFB3D31E60"/>
          </w:pPr>
          <w:r w:rsidRPr="00CC5954">
            <w:rPr>
              <w:rStyle w:val="PlaceholderText"/>
            </w:rPr>
            <w:t>Click here to enter text.</w:t>
          </w:r>
        </w:p>
      </w:docPartBody>
    </w:docPart>
    <w:docPart>
      <w:docPartPr>
        <w:name w:val="094A48B080684960BF3A114CBE910244"/>
        <w:category>
          <w:name w:val="General"/>
          <w:gallery w:val="placeholder"/>
        </w:category>
        <w:types>
          <w:type w:val="bbPlcHdr"/>
        </w:types>
        <w:behaviors>
          <w:behavior w:val="content"/>
        </w:behaviors>
        <w:guid w:val="{2DCBBB7A-E7C0-45CC-A6B8-941692E7A7C2}"/>
      </w:docPartPr>
      <w:docPartBody>
        <w:p w:rsidR="006F1ED4" w:rsidRDefault="006F1ED4" w:rsidP="006F1ED4">
          <w:pPr>
            <w:pStyle w:val="094A48B080684960BF3A114CBE910244"/>
          </w:pPr>
          <w:r w:rsidRPr="00CC5954">
            <w:rPr>
              <w:rStyle w:val="PlaceholderText"/>
            </w:rPr>
            <w:t>Click here to enter text.</w:t>
          </w:r>
        </w:p>
      </w:docPartBody>
    </w:docPart>
    <w:docPart>
      <w:docPartPr>
        <w:name w:val="867EF0DB10CB4A10BB29112D1FCD9786"/>
        <w:category>
          <w:name w:val="General"/>
          <w:gallery w:val="placeholder"/>
        </w:category>
        <w:types>
          <w:type w:val="bbPlcHdr"/>
        </w:types>
        <w:behaviors>
          <w:behavior w:val="content"/>
        </w:behaviors>
        <w:guid w:val="{ED142FE1-2935-4C00-8D06-E409A82D67C7}"/>
      </w:docPartPr>
      <w:docPartBody>
        <w:p w:rsidR="006F1ED4" w:rsidRDefault="006F1ED4" w:rsidP="006F1ED4">
          <w:pPr>
            <w:pStyle w:val="867EF0DB10CB4A10BB29112D1FCD9786"/>
          </w:pPr>
          <w:r w:rsidRPr="00CC5954">
            <w:rPr>
              <w:rStyle w:val="PlaceholderText"/>
            </w:rPr>
            <w:t>Click here to enter text.</w:t>
          </w:r>
        </w:p>
      </w:docPartBody>
    </w:docPart>
    <w:docPart>
      <w:docPartPr>
        <w:name w:val="C8F0C73A25AD4069881E7BB32D9AC3FF"/>
        <w:category>
          <w:name w:val="General"/>
          <w:gallery w:val="placeholder"/>
        </w:category>
        <w:types>
          <w:type w:val="bbPlcHdr"/>
        </w:types>
        <w:behaviors>
          <w:behavior w:val="content"/>
        </w:behaviors>
        <w:guid w:val="{52B5B6C4-B8FF-43F0-9D00-423B432C5B3B}"/>
      </w:docPartPr>
      <w:docPartBody>
        <w:p w:rsidR="006F1ED4" w:rsidRDefault="006F1ED4" w:rsidP="006F1ED4">
          <w:pPr>
            <w:pStyle w:val="C8F0C73A25AD4069881E7BB32D9AC3FF"/>
          </w:pPr>
          <w:r w:rsidRPr="00CC5954">
            <w:rPr>
              <w:rStyle w:val="PlaceholderText"/>
            </w:rPr>
            <w:t>Click here to enter text.</w:t>
          </w:r>
        </w:p>
      </w:docPartBody>
    </w:docPart>
    <w:docPart>
      <w:docPartPr>
        <w:name w:val="346DADE0E4B948EEB018BC06B86F97D7"/>
        <w:category>
          <w:name w:val="General"/>
          <w:gallery w:val="placeholder"/>
        </w:category>
        <w:types>
          <w:type w:val="bbPlcHdr"/>
        </w:types>
        <w:behaviors>
          <w:behavior w:val="content"/>
        </w:behaviors>
        <w:guid w:val="{C55B73F9-8E74-489E-9465-27416A304196}"/>
      </w:docPartPr>
      <w:docPartBody>
        <w:p w:rsidR="006F1ED4" w:rsidRDefault="006F1ED4" w:rsidP="006F1ED4">
          <w:pPr>
            <w:pStyle w:val="346DADE0E4B948EEB018BC06B86F97D7"/>
          </w:pPr>
          <w:r w:rsidRPr="00CC5954">
            <w:rPr>
              <w:rStyle w:val="PlaceholderText"/>
            </w:rPr>
            <w:t>Click here to enter text.</w:t>
          </w:r>
        </w:p>
      </w:docPartBody>
    </w:docPart>
    <w:docPart>
      <w:docPartPr>
        <w:name w:val="902FE64B29424F659DBB099D6CE88D80"/>
        <w:category>
          <w:name w:val="General"/>
          <w:gallery w:val="placeholder"/>
        </w:category>
        <w:types>
          <w:type w:val="bbPlcHdr"/>
        </w:types>
        <w:behaviors>
          <w:behavior w:val="content"/>
        </w:behaviors>
        <w:guid w:val="{66B93AB9-C6F0-423C-BE69-18C2918E2302}"/>
      </w:docPartPr>
      <w:docPartBody>
        <w:p w:rsidR="006F1ED4" w:rsidRDefault="00616558" w:rsidP="00616558">
          <w:pPr>
            <w:pStyle w:val="902FE64B29424F659DBB099D6CE88D809"/>
          </w:pPr>
          <w:r w:rsidRPr="003B5CBC">
            <w:rPr>
              <w:rStyle w:val="PlaceholderText"/>
              <w:rFonts w:eastAsiaTheme="majorEastAsia"/>
            </w:rPr>
            <w:t xml:space="preserve">Data e </w:t>
          </w:r>
          <w:r w:rsidRPr="003B5CBC">
            <w:rPr>
              <w:rStyle w:val="PlaceholderText"/>
            </w:rPr>
            <w:t>vlerës</w:t>
          </w:r>
          <w:r w:rsidRPr="003B5CBC">
            <w:rPr>
              <w:rStyle w:val="PlaceholderText"/>
              <w:rFonts w:eastAsiaTheme="majorEastAsia"/>
            </w:rPr>
            <w:t>imit të ndikimit</w:t>
          </w:r>
        </w:p>
      </w:docPartBody>
    </w:docPart>
    <w:docPart>
      <w:docPartPr>
        <w:name w:val="FD861CBE38474042B6487F314DCD3331"/>
        <w:category>
          <w:name w:val="General"/>
          <w:gallery w:val="placeholder"/>
        </w:category>
        <w:types>
          <w:type w:val="bbPlcHdr"/>
        </w:types>
        <w:behaviors>
          <w:behavior w:val="content"/>
        </w:behaviors>
        <w:guid w:val="{06B41C99-623D-4A53-89E3-64EC92116808}"/>
      </w:docPartPr>
      <w:docPartBody>
        <w:p w:rsidR="00B520DD" w:rsidRDefault="006F1ED4" w:rsidP="006F1ED4">
          <w:pPr>
            <w:pStyle w:val="FD861CBE38474042B6487F314DCD33313"/>
          </w:pPr>
          <w:r w:rsidRPr="00932CDB">
            <w:rPr>
              <w:rStyle w:val="PlaceholderText"/>
              <w:rFonts w:eastAsiaTheme="majorEastAsia"/>
            </w:rPr>
            <w:t xml:space="preserve">Data/Asnjë konsultim </w:t>
          </w:r>
          <w:r>
            <w:rPr>
              <w:rStyle w:val="PlaceholderText"/>
              <w:rFonts w:eastAsiaTheme="majorEastAsia"/>
            </w:rPr>
            <w:t>publik.</w:t>
          </w:r>
        </w:p>
      </w:docPartBody>
    </w:docPart>
    <w:docPart>
      <w:docPartPr>
        <w:name w:val="1AD1A34C84384DA5B2C88EB652FCD115"/>
        <w:category>
          <w:name w:val="General"/>
          <w:gallery w:val="placeholder"/>
        </w:category>
        <w:types>
          <w:type w:val="bbPlcHdr"/>
        </w:types>
        <w:behaviors>
          <w:behavior w:val="content"/>
        </w:behaviors>
        <w:guid w:val="{55152D83-A87F-4C2D-81F0-372E988CF470}"/>
      </w:docPartPr>
      <w:docPartBody>
        <w:p w:rsidR="00B520DD" w:rsidRDefault="00616558" w:rsidP="00616558">
          <w:pPr>
            <w:pStyle w:val="1AD1A34C84384DA5B2C88EB652FCD1155"/>
          </w:pPr>
          <w:r w:rsidRPr="003B5CBC">
            <w:rPr>
              <w:rStyle w:val="PlaceholderText"/>
              <w:rFonts w:eastAsiaTheme="majorEastAsia"/>
            </w:rPr>
            <w:t>Data e shqyrtimit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925"/>
    <w:rsid w:val="0003006C"/>
    <w:rsid w:val="000F5B7B"/>
    <w:rsid w:val="00265E85"/>
    <w:rsid w:val="002A0F02"/>
    <w:rsid w:val="00342EA7"/>
    <w:rsid w:val="0036461E"/>
    <w:rsid w:val="003B6FE3"/>
    <w:rsid w:val="00530E91"/>
    <w:rsid w:val="005D1BE2"/>
    <w:rsid w:val="005D39CD"/>
    <w:rsid w:val="00613314"/>
    <w:rsid w:val="00616558"/>
    <w:rsid w:val="00672A9E"/>
    <w:rsid w:val="006F1ED4"/>
    <w:rsid w:val="007B4F71"/>
    <w:rsid w:val="00861778"/>
    <w:rsid w:val="00862925"/>
    <w:rsid w:val="008C2583"/>
    <w:rsid w:val="008E485D"/>
    <w:rsid w:val="008E7E8D"/>
    <w:rsid w:val="008F1808"/>
    <w:rsid w:val="00912671"/>
    <w:rsid w:val="00930829"/>
    <w:rsid w:val="009756AD"/>
    <w:rsid w:val="009C3F58"/>
    <w:rsid w:val="00A95E58"/>
    <w:rsid w:val="00B520DD"/>
    <w:rsid w:val="00B91967"/>
    <w:rsid w:val="00BD1468"/>
    <w:rsid w:val="00D71EBA"/>
    <w:rsid w:val="00DA1BDD"/>
    <w:rsid w:val="00DC3C88"/>
    <w:rsid w:val="00DF23BF"/>
    <w:rsid w:val="00EA77F2"/>
    <w:rsid w:val="00EF68FF"/>
    <w:rsid w:val="00F562D9"/>
    <w:rsid w:val="00F66DB2"/>
    <w:rsid w:val="00F80994"/>
    <w:rsid w:val="00F8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61E"/>
    <w:rPr>
      <w:color w:val="808080"/>
    </w:rPr>
  </w:style>
  <w:style w:type="paragraph" w:customStyle="1" w:styleId="467F15D558F0444BB35BCB17F1E0E252">
    <w:name w:val="467F15D558F0444BB35BCB17F1E0E252"/>
    <w:rsid w:val="00862925"/>
  </w:style>
  <w:style w:type="paragraph" w:customStyle="1" w:styleId="2A7B5061D9734F9B9920E7F9F30874BF">
    <w:name w:val="2A7B5061D9734F9B9920E7F9F30874BF"/>
    <w:rsid w:val="00862925"/>
  </w:style>
  <w:style w:type="paragraph" w:customStyle="1" w:styleId="12D73499CE804819B3C8A0E3EE4B5831">
    <w:name w:val="12D73499CE804819B3C8A0E3EE4B5831"/>
    <w:rsid w:val="00862925"/>
  </w:style>
  <w:style w:type="paragraph" w:customStyle="1" w:styleId="B3333E954FD04E56BA74AB245AE6B7E3">
    <w:name w:val="B3333E954FD04E56BA74AB245AE6B7E3"/>
    <w:rsid w:val="00862925"/>
  </w:style>
  <w:style w:type="paragraph" w:customStyle="1" w:styleId="2D6358CB0C8044EE8398B66B3548E215">
    <w:name w:val="2D6358CB0C8044EE8398B66B3548E215"/>
    <w:rsid w:val="00862925"/>
  </w:style>
  <w:style w:type="paragraph" w:customStyle="1" w:styleId="CAFA2833E6FA49A3A335B5A363B8A036">
    <w:name w:val="CAFA2833E6FA49A3A335B5A363B8A036"/>
    <w:rsid w:val="00862925"/>
  </w:style>
  <w:style w:type="paragraph" w:customStyle="1" w:styleId="744FAD336A3C4E4784A0D1C630A7101D">
    <w:name w:val="744FAD336A3C4E4784A0D1C630A7101D"/>
    <w:rsid w:val="00862925"/>
  </w:style>
  <w:style w:type="paragraph" w:customStyle="1" w:styleId="D045FFCCB38E44B3B337251B772BF7B3">
    <w:name w:val="D045FFCCB38E44B3B337251B772BF7B3"/>
    <w:rsid w:val="00862925"/>
  </w:style>
  <w:style w:type="paragraph" w:customStyle="1" w:styleId="F60B42ECE24F4FB2A180B726E718FD45">
    <w:name w:val="F60B42ECE24F4FB2A180B726E718FD45"/>
    <w:rsid w:val="00862925"/>
  </w:style>
  <w:style w:type="paragraph" w:customStyle="1" w:styleId="92B0AA5D73EE407EB30812CE8AA4E3C2">
    <w:name w:val="92B0AA5D73EE407EB30812CE8AA4E3C2"/>
    <w:rsid w:val="00862925"/>
  </w:style>
  <w:style w:type="paragraph" w:customStyle="1" w:styleId="AA020EEBFB9B401781B3CCC9042C41E7">
    <w:name w:val="AA020EEBFB9B401781B3CCC9042C41E7"/>
    <w:rsid w:val="00862925"/>
  </w:style>
  <w:style w:type="paragraph" w:customStyle="1" w:styleId="6A7E2BFFF89D472CB075ACA501F69EE3">
    <w:name w:val="6A7E2BFFF89D472CB075ACA501F69EE3"/>
    <w:rsid w:val="00862925"/>
  </w:style>
  <w:style w:type="paragraph" w:customStyle="1" w:styleId="184215A29E084DFB929EA7763930C43D">
    <w:name w:val="184215A29E084DFB929EA7763930C43D"/>
    <w:rsid w:val="00862925"/>
  </w:style>
  <w:style w:type="paragraph" w:customStyle="1" w:styleId="8D751CC6D1C342D39FF87781E587F684">
    <w:name w:val="8D751CC6D1C342D39FF87781E587F684"/>
    <w:rsid w:val="00862925"/>
  </w:style>
  <w:style w:type="paragraph" w:customStyle="1" w:styleId="751FEA7566AC46F39FBF201CEB7F6AD6">
    <w:name w:val="751FEA7566AC46F39FBF201CEB7F6AD6"/>
    <w:rsid w:val="008C2583"/>
  </w:style>
  <w:style w:type="paragraph" w:customStyle="1" w:styleId="3FDB7B206FB14DFF8463B62360345173">
    <w:name w:val="3FDB7B206FB14DFF8463B62360345173"/>
    <w:rsid w:val="008C2583"/>
  </w:style>
  <w:style w:type="paragraph" w:customStyle="1" w:styleId="47FAC56B40DE456E970FAF1DC10F4C53">
    <w:name w:val="47FAC56B40DE456E970FAF1DC10F4C53"/>
    <w:rsid w:val="008C2583"/>
  </w:style>
  <w:style w:type="paragraph" w:customStyle="1" w:styleId="F1C3E94D3BF743BEAEE5FFDD50A62E94">
    <w:name w:val="F1C3E94D3BF743BEAEE5FFDD50A62E94"/>
    <w:rsid w:val="008C2583"/>
  </w:style>
  <w:style w:type="paragraph" w:customStyle="1" w:styleId="7194EE273C35436F99A6A439F785567C">
    <w:name w:val="7194EE273C35436F99A6A439F785567C"/>
    <w:rsid w:val="008C2583"/>
  </w:style>
  <w:style w:type="paragraph" w:customStyle="1" w:styleId="84E9C7A8F3674398A1DBB858383D3F1D">
    <w:name w:val="84E9C7A8F3674398A1DBB858383D3F1D"/>
    <w:rsid w:val="008C2583"/>
  </w:style>
  <w:style w:type="paragraph" w:customStyle="1" w:styleId="EED63F8415314A1ABE4761C0FF4BA33C">
    <w:name w:val="EED63F8415314A1ABE4761C0FF4BA33C"/>
    <w:rsid w:val="008C2583"/>
  </w:style>
  <w:style w:type="paragraph" w:customStyle="1" w:styleId="A832CC51CF534A7A97B192F06BE6911B">
    <w:name w:val="A832CC51CF534A7A97B192F06BE6911B"/>
    <w:rsid w:val="00D71EBA"/>
  </w:style>
  <w:style w:type="paragraph" w:customStyle="1" w:styleId="873E64307E5F40099245506EC819755B">
    <w:name w:val="873E64307E5F40099245506EC819755B"/>
    <w:rsid w:val="00D71EBA"/>
  </w:style>
  <w:style w:type="paragraph" w:customStyle="1" w:styleId="CACB70A1168B411595FAC6FC6BEBF98B">
    <w:name w:val="CACB70A1168B411595FAC6FC6BEBF98B"/>
    <w:rsid w:val="006F1ED4"/>
  </w:style>
  <w:style w:type="paragraph" w:customStyle="1" w:styleId="A6674A12251248E88B7160122A78C515">
    <w:name w:val="A6674A12251248E88B7160122A78C515"/>
    <w:rsid w:val="006F1ED4"/>
  </w:style>
  <w:style w:type="paragraph" w:customStyle="1" w:styleId="61AF1E6A7DD04E5DB2E986ACEC7F590C">
    <w:name w:val="61AF1E6A7DD04E5DB2E986ACEC7F590C"/>
    <w:rsid w:val="006F1ED4"/>
  </w:style>
  <w:style w:type="paragraph" w:customStyle="1" w:styleId="3700E91A27C24589A96EE3D6E4741DA7">
    <w:name w:val="3700E91A27C24589A96EE3D6E4741DA7"/>
    <w:rsid w:val="006F1ED4"/>
  </w:style>
  <w:style w:type="paragraph" w:customStyle="1" w:styleId="21F121A5A87247F08AAB82C8E36DAFEB">
    <w:name w:val="21F121A5A87247F08AAB82C8E36DAFEB"/>
    <w:rsid w:val="006F1ED4"/>
  </w:style>
  <w:style w:type="paragraph" w:customStyle="1" w:styleId="7D4BF66875D84F409BE5ED571A99CDF4">
    <w:name w:val="7D4BF66875D84F409BE5ED571A99CDF4"/>
    <w:rsid w:val="006F1ED4"/>
  </w:style>
  <w:style w:type="paragraph" w:customStyle="1" w:styleId="474B859D396E4072A8DBDAAD8912CD7B">
    <w:name w:val="474B859D396E4072A8DBDAAD8912CD7B"/>
    <w:rsid w:val="006F1ED4"/>
  </w:style>
  <w:style w:type="paragraph" w:customStyle="1" w:styleId="6DDBB321FA75409DA38DDE9CB0FD1E41">
    <w:name w:val="6DDBB321FA75409DA38DDE9CB0FD1E41"/>
    <w:rsid w:val="006F1ED4"/>
  </w:style>
  <w:style w:type="paragraph" w:customStyle="1" w:styleId="1B5742A7A4F94DA1B86FBACFB3D31E60">
    <w:name w:val="1B5742A7A4F94DA1B86FBACFB3D31E60"/>
    <w:rsid w:val="006F1ED4"/>
  </w:style>
  <w:style w:type="paragraph" w:customStyle="1" w:styleId="094A48B080684960BF3A114CBE910244">
    <w:name w:val="094A48B080684960BF3A114CBE910244"/>
    <w:rsid w:val="006F1ED4"/>
  </w:style>
  <w:style w:type="paragraph" w:customStyle="1" w:styleId="867EF0DB10CB4A10BB29112D1FCD9786">
    <w:name w:val="867EF0DB10CB4A10BB29112D1FCD9786"/>
    <w:rsid w:val="006F1ED4"/>
  </w:style>
  <w:style w:type="paragraph" w:customStyle="1" w:styleId="2C6B1E60C1A14643A06F2DDC18E211CF">
    <w:name w:val="2C6B1E60C1A14643A06F2DDC18E211CF"/>
    <w:rsid w:val="006F1ED4"/>
  </w:style>
  <w:style w:type="paragraph" w:customStyle="1" w:styleId="C8F0C73A25AD4069881E7BB32D9AC3FF">
    <w:name w:val="C8F0C73A25AD4069881E7BB32D9AC3FF"/>
    <w:rsid w:val="006F1ED4"/>
  </w:style>
  <w:style w:type="paragraph" w:customStyle="1" w:styleId="346DADE0E4B948EEB018BC06B86F97D7">
    <w:name w:val="346DADE0E4B948EEB018BC06B86F97D7"/>
    <w:rsid w:val="006F1ED4"/>
  </w:style>
  <w:style w:type="paragraph" w:customStyle="1" w:styleId="902FE64B29424F659DBB099D6CE88D80">
    <w:name w:val="902FE64B29424F659DBB099D6CE88D80"/>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1">
    <w:name w:val="902FE64B29424F659DBB099D6CE88D801"/>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2">
    <w:name w:val="902FE64B29424F659DBB099D6CE88D802"/>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3">
    <w:name w:val="902FE64B29424F659DBB099D6CE88D803"/>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E443E12996174F81B05AA4FD0B32EB14">
    <w:name w:val="E443E12996174F81B05AA4FD0B32EB14"/>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4">
    <w:name w:val="902FE64B29424F659DBB099D6CE88D804"/>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E443E12996174F81B05AA4FD0B32EB141">
    <w:name w:val="E443E12996174F81B05AA4FD0B32EB141"/>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FD861CBE38474042B6487F314DCD3331">
    <w:name w:val="FD861CBE38474042B6487F314DCD3331"/>
    <w:rsid w:val="006F1ED4"/>
  </w:style>
  <w:style w:type="paragraph" w:customStyle="1" w:styleId="1AD1A34C84384DA5B2C88EB652FCD115">
    <w:name w:val="1AD1A34C84384DA5B2C88EB652FCD115"/>
    <w:rsid w:val="006F1ED4"/>
  </w:style>
  <w:style w:type="paragraph" w:customStyle="1" w:styleId="FD861CBE38474042B6487F314DCD33311">
    <w:name w:val="FD861CBE38474042B6487F314DCD33311"/>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5">
    <w:name w:val="902FE64B29424F659DBB099D6CE88D805"/>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1">
    <w:name w:val="1AD1A34C84384DA5B2C88EB652FCD1151"/>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FD861CBE38474042B6487F314DCD33312">
    <w:name w:val="FD861CBE38474042B6487F314DCD33312"/>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6">
    <w:name w:val="902FE64B29424F659DBB099D6CE88D806"/>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2">
    <w:name w:val="1AD1A34C84384DA5B2C88EB652FCD1152"/>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FD861CBE38474042B6487F314DCD33313">
    <w:name w:val="FD861CBE38474042B6487F314DCD33313"/>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7">
    <w:name w:val="902FE64B29424F659DBB099D6CE88D807"/>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3">
    <w:name w:val="1AD1A34C84384DA5B2C88EB652FCD1153"/>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8">
    <w:name w:val="902FE64B29424F659DBB099D6CE88D808"/>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4">
    <w:name w:val="1AD1A34C84384DA5B2C88EB652FCD1154"/>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9">
    <w:name w:val="902FE64B29424F659DBB099D6CE88D809"/>
    <w:rsid w:val="00616558"/>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5">
    <w:name w:val="1AD1A34C84384DA5B2C88EB652FCD1155"/>
    <w:rsid w:val="00616558"/>
    <w:pPr>
      <w:spacing w:after="0" w:line="240" w:lineRule="auto"/>
    </w:pPr>
    <w:rPr>
      <w:rFonts w:ascii="Times New Roman" w:eastAsia="Times New Roman" w:hAnsi="Times New Roman" w:cs="Times New Roman"/>
      <w:sz w:val="24"/>
      <w:szCs w:val="20"/>
      <w:lang w:val="en-GB" w:eastAsia="en-GB"/>
    </w:rPr>
  </w:style>
  <w:style w:type="paragraph" w:customStyle="1" w:styleId="9B0ACAF59AF04FBC98C0CE976EF06E8D">
    <w:name w:val="9B0ACAF59AF04FBC98C0CE976EF06E8D"/>
    <w:rsid w:val="00364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9A113-764B-488F-A5B7-3C61950AC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8075</Words>
  <Characters>46032</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Impact Assessment</vt:lpstr>
    </vt:vector>
  </TitlesOfParts>
  <Company>BIS</Company>
  <LinksUpToDate>false</LinksUpToDate>
  <CharactersWithSpaces>54000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Assessment</dc:title>
  <dc:subject/>
  <dc:creator>Ricketts Simon (GO-Science)</dc:creator>
  <cp:keywords/>
  <dc:description/>
  <cp:lastModifiedBy>Alma Dylgjeri</cp:lastModifiedBy>
  <cp:revision>2</cp:revision>
  <cp:lastPrinted>2019-12-29T15:36:00Z</cp:lastPrinted>
  <dcterms:created xsi:type="dcterms:W3CDTF">2021-06-24T14:31:00Z</dcterms:created>
  <dcterms:modified xsi:type="dcterms:W3CDTF">2021-06-24T14:31:00Z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ies>
</file>